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pPr>
      <w:r>
        <w:rPr>
          <w:rFonts w:ascii="Calibri" w:hAnsi="Calibri"/>
          <w:b/>
          <w:color w:val="0F172A"/>
          <w:sz w:val="36"/>
        </w:rPr>
        <w:t>PERFORMANS GELİŞTİRME PLANI (PIP)</w:t>
      </w:r>
    </w:p>
    <w:p>
      <w:pPr>
        <w:spacing w:after="80" w:line="276" w:lineRule="auto"/>
      </w:pPr>
      <w:r>
        <w:rPr>
          <w:rFonts w:ascii="Calibri" w:hAnsi="Calibri"/>
          <w:b/>
        </w:rPr>
        <w:t>Çalışanın Adı Soyadı:</w:t>
      </w:r>
      <w:r>
        <w:rPr>
          <w:rFonts w:ascii="Calibri" w:hAnsi="Calibri"/>
        </w:rPr>
        <w:t xml:space="preserve"> [Çalışan Adı Soyadı]  |  </w:t>
      </w:r>
      <w:r>
        <w:rPr>
          <w:rFonts w:ascii="Calibri" w:hAnsi="Calibri"/>
          <w:b/>
        </w:rPr>
        <w:t>Sicil No:</w:t>
      </w:r>
      <w:r>
        <w:rPr>
          <w:rFonts w:ascii="Calibri" w:hAnsi="Calibri"/>
        </w:rPr>
        <w:t xml:space="preserve"> [SICIL-XXXX]</w:t>
      </w:r>
      <w:r>
        <w:rPr>
          <w:rFonts w:ascii="Calibri" w:hAnsi="Calibri"/>
        </w:rPr>
        <w:br/>
      </w:r>
      <w:r>
        <w:rPr>
          <w:rFonts w:ascii="Calibri" w:hAnsi="Calibri"/>
          <w:b/>
        </w:rPr>
        <w:t>Departmanı / Görevi:</w:t>
      </w:r>
      <w:r>
        <w:rPr>
          <w:rFonts w:ascii="Calibri" w:hAnsi="Calibri"/>
        </w:rPr>
        <w:t xml:space="preserve"> [Müşteri Hizmetleri / Kıdemli Temsilci]  |  </w:t>
      </w:r>
      <w:r>
        <w:rPr>
          <w:rFonts w:ascii="Calibri" w:hAnsi="Calibri"/>
          <w:b/>
        </w:rPr>
        <w:t>Yöneticisi:</w:t>
      </w:r>
      <w:r>
        <w:rPr>
          <w:rFonts w:ascii="Calibri" w:hAnsi="Calibri"/>
        </w:rPr>
        <w:t xml:space="preserve"> [Yönetici Ad Soyad]</w:t>
      </w:r>
      <w:r>
        <w:rPr>
          <w:rFonts w:ascii="Calibri" w:hAnsi="Calibri"/>
        </w:rPr>
        <w:br/>
      </w:r>
      <w:r>
        <w:rPr>
          <w:rFonts w:ascii="Calibri" w:hAnsi="Calibri"/>
          <w:b/>
        </w:rPr>
        <w:t>PIP Başlangıç Tarihi:</w:t>
      </w:r>
      <w:r>
        <w:rPr>
          <w:rFonts w:ascii="Calibri" w:hAnsi="Calibri"/>
        </w:rPr>
        <w:t xml:space="preserve"> [01/02/2026]  |  </w:t>
      </w:r>
      <w:r>
        <w:rPr>
          <w:rFonts w:ascii="Calibri" w:hAnsi="Calibri"/>
          <w:b/>
        </w:rPr>
        <w:t>PIP Süresi:</w:t>
      </w:r>
      <w:r>
        <w:rPr>
          <w:rFonts w:ascii="Calibri" w:hAnsi="Calibri"/>
        </w:rPr>
        <w:t xml:space="preserve"> [60 Gün]  |  </w:t>
      </w:r>
      <w:r>
        <w:rPr>
          <w:rFonts w:ascii="Calibri" w:hAnsi="Calibri"/>
          <w:b/>
        </w:rPr>
        <w:t>Bitiş Değerlendirme:</w:t>
      </w:r>
      <w:r>
        <w:rPr>
          <w:rFonts w:ascii="Calibri" w:hAnsi="Calibri"/>
        </w:rPr>
        <w:t xml:space="preserve"> [01/04/2026]</w:t>
      </w:r>
    </w:p>
    <w:p>
      <w:pPr>
        <w:spacing w:before="200" w:after="80"/>
      </w:pPr>
      <w:r>
        <w:rPr>
          <w:rFonts w:ascii="Calibri" w:hAnsi="Calibri"/>
          <w:b/>
          <w:color w:val="1E3A8A"/>
          <w:sz w:val="28"/>
        </w:rPr>
        <w:t>1. MEVCUT DURUM VE PERFORMANS YETERSİZLİĞİNİN TANIMI</w:t>
      </w:r>
    </w:p>
    <w:p>
      <w:pPr>
        <w:spacing w:before="80" w:after="120"/>
        <w:ind w:left="576"/>
      </w:pPr>
      <w:r>
        <w:rPr>
          <w:rFonts w:ascii="Calibri" w:hAnsi="Calibri"/>
          <w:i/>
          <w:color w:val="64748B"/>
          <w:sz w:val="21"/>
        </w:rPr>
        <w:t>Açıklama: Bu bölüme soyut ifadeler ("çalışkan değil", "yetersiz" vb.) yerine somut, ölçülebilir ve belgelenebilir veriler yazılmalıdır.</w:t>
      </w:r>
    </w:p>
    <w:p>
      <w:pPr>
        <w:pStyle w:val="ListBullet"/>
        <w:spacing w:after="40" w:line="276" w:lineRule="auto"/>
      </w:pPr>
      <w:r>
        <w:rPr>
          <w:rFonts w:ascii="Calibri" w:hAnsi="Calibri"/>
          <w:b/>
        </w:rPr>
        <w:t>Tespit Edilen Eksiklik:</w:t>
      </w:r>
      <w:r>
        <w:rPr>
          <w:rFonts w:ascii="Calibri" w:hAnsi="Calibri"/>
        </w:rPr>
        <w:t xml:space="preserve"> Son 3 aylık dönemde çağrı yanıtlama hedefi aylık 1.200 çağrı iken ortalama 780 çağrıda kalınmış; müşteri memnuniyet skoru (CSAT) şirket ortalaması olan %85'in altında kalarak %62 olarak gerçekleşmiştir.</w:t>
      </w:r>
    </w:p>
    <w:p>
      <w:pPr>
        <w:pStyle w:val="ListBullet"/>
        <w:spacing w:after="40" w:line="276" w:lineRule="auto"/>
      </w:pPr>
      <w:r>
        <w:rPr>
          <w:rFonts w:ascii="Calibri" w:hAnsi="Calibri"/>
          <w:b/>
        </w:rPr>
        <w:t>Somut Örnekler / Raporlar:</w:t>
      </w:r>
      <w:r>
        <w:rPr>
          <w:rFonts w:ascii="Calibri" w:hAnsi="Calibri"/>
        </w:rPr>
        <w:t xml:space="preserve"> [Ocak 2026 çağrı merkezi istatistik raporu ve kalite dinleme tutanakları ektedir].</w:t>
      </w:r>
    </w:p>
    <w:p>
      <w:pPr>
        <w:pStyle w:val="ListBullet"/>
        <w:spacing w:after="40" w:line="276" w:lineRule="auto"/>
      </w:pPr>
      <w:r>
        <w:rPr>
          <w:rFonts w:ascii="Calibri" w:hAnsi="Calibri"/>
          <w:b/>
        </w:rPr>
        <w:t>Etkilenen Süreçler:</w:t>
      </w:r>
      <w:r>
        <w:rPr>
          <w:rFonts w:ascii="Calibri" w:hAnsi="Calibri"/>
        </w:rPr>
        <w:t xml:space="preserve"> Ekip içi iş yükü dağılımı bozulmuş ve servis karşılama seviyesi (SLA) hedefin gerisine düşmüştür.</w:t>
      </w:r>
    </w:p>
    <w:p>
      <w:pPr>
        <w:spacing w:before="200" w:after="80"/>
      </w:pPr>
      <w:r>
        <w:rPr>
          <w:rFonts w:ascii="Calibri" w:hAnsi="Calibri"/>
          <w:b/>
          <w:color w:val="1E3A8A"/>
          <w:sz w:val="28"/>
        </w:rPr>
        <w:t>2. GELİŞTİRİLMESİ BEKLENEN ÖLÇÜLEBİLİR HEDEFLER (SMART)</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Hedef Açıklaması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Başarı Kriteri / Ölçüm Metriği</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Hedeflenen Seviye</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Termin Tarihi</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Günlük aktif çağrı karşılama adetlerinin artırılması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Günlük ortalama çağrı adedi</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En az 50 Çağrı/Gün</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30. Gün sonu</w:t>
            </w:r>
          </w:p>
        </w:tc>
      </w:tr>
      <w:tr>
        <w:tc>
          <w:tcPr>
            <w:tcW w:type="dxa" w:w="1814"/>
            <w:tcMar>
              <w:top w:w="120" w:type="dxa"/>
              <w:bottom w:w="120" w:type="dxa"/>
              <w:left w:w="150" w:type="dxa"/>
              <w:right w:w="150" w:type="dxa"/>
            </w:tcMar>
          </w:tcPr>
          <w:p>
            <w:pPr>
              <w:spacing w:after="40" w:line="252" w:lineRule="auto"/>
            </w:pPr>
            <w:r>
              <w:rPr>
                <w:rFonts w:ascii="Calibri" w:hAnsi="Calibri"/>
                <w:b/>
                <w:sz w:val="19"/>
              </w:rPr>
              <w:t>2</w:t>
            </w:r>
          </w:p>
        </w:tc>
        <w:tc>
          <w:tcPr>
            <w:tcW w:type="dxa" w:w="1814"/>
            <w:tcMar>
              <w:top w:w="120" w:type="dxa"/>
              <w:bottom w:w="120" w:type="dxa"/>
              <w:left w:w="150" w:type="dxa"/>
              <w:right w:w="150" w:type="dxa"/>
            </w:tcMar>
          </w:tcPr>
          <w:p>
            <w:pPr>
              <w:spacing w:after="40" w:line="252" w:lineRule="auto"/>
            </w:pPr>
            <w:r>
              <w:rPr>
                <w:rFonts w:ascii="Calibri" w:hAnsi="Calibri"/>
                <w:sz w:val="19"/>
              </w:rPr>
              <w:t>Müşteri memnuniyet ve kalite skoru yükseltilmesi</w:t>
            </w:r>
          </w:p>
        </w:tc>
        <w:tc>
          <w:tcPr>
            <w:tcW w:type="dxa" w:w="1814"/>
            <w:tcMar>
              <w:top w:w="120" w:type="dxa"/>
              <w:bottom w:w="120" w:type="dxa"/>
              <w:left w:w="150" w:type="dxa"/>
              <w:right w:w="150" w:type="dxa"/>
            </w:tcMar>
          </w:tcPr>
          <w:p>
            <w:pPr>
              <w:spacing w:after="40" w:line="252" w:lineRule="auto"/>
            </w:pPr>
            <w:r>
              <w:rPr>
                <w:rFonts w:ascii="Calibri" w:hAnsi="Calibri"/>
                <w:sz w:val="19"/>
              </w:rPr>
              <w:t>Kalite güvence dinleme puanı</w:t>
            </w:r>
          </w:p>
        </w:tc>
        <w:tc>
          <w:tcPr>
            <w:tcW w:type="dxa" w:w="1814"/>
            <w:tcMar>
              <w:top w:w="120" w:type="dxa"/>
              <w:bottom w:w="120" w:type="dxa"/>
              <w:left w:w="150" w:type="dxa"/>
              <w:right w:w="150" w:type="dxa"/>
            </w:tcMar>
          </w:tcPr>
          <w:p>
            <w:pPr>
              <w:spacing w:after="40" w:line="252" w:lineRule="auto"/>
            </w:pPr>
            <w:r>
              <w:rPr>
                <w:rFonts w:ascii="Calibri" w:hAnsi="Calibri"/>
                <w:b/>
                <w:sz w:val="19"/>
              </w:rPr>
              <w:t>En az %80 Memnuniyet</w:t>
            </w:r>
          </w:p>
        </w:tc>
        <w:tc>
          <w:tcPr>
            <w:tcW w:type="dxa" w:w="1814"/>
            <w:tcMar>
              <w:top w:w="120" w:type="dxa"/>
              <w:bottom w:w="120" w:type="dxa"/>
              <w:left w:w="150" w:type="dxa"/>
              <w:right w:w="150" w:type="dxa"/>
            </w:tcMar>
          </w:tcPr>
          <w:p>
            <w:pPr>
              <w:spacing w:after="40" w:line="252" w:lineRule="auto"/>
            </w:pPr>
            <w:r>
              <w:rPr>
                <w:rFonts w:ascii="Calibri" w:hAnsi="Calibri"/>
                <w:sz w:val="19"/>
              </w:rPr>
              <w:t>60. Gün sonu</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Çağrı çözüm süresi (AHT) optimizasyonu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Ortalama çağrı süresi</w:t>
            </w:r>
          </w:p>
        </w:tc>
        <w:tc>
          <w:tcPr>
            <w:tcW w:type="dxa" w:w="1814"/>
            <w:tcMar>
              <w:top w:w="120" w:type="dxa"/>
              <w:bottom w:w="120" w:type="dxa"/>
              <w:left w:w="150" w:type="dxa"/>
              <w:right w:w="150" w:type="dxa"/>
            </w:tcMar>
            <w:shd w:fill="F8FAFC"/>
          </w:tcPr>
          <w:p>
            <w:pPr>
              <w:spacing w:after="40" w:line="252" w:lineRule="auto"/>
            </w:pPr>
            <w:r>
              <w:rPr>
                <w:rFonts w:ascii="Calibri" w:hAnsi="Calibri"/>
                <w:b/>
                <w:sz w:val="19"/>
              </w:rPr>
              <w:t>Maksimum 240 Saniye</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45. Gün sonu</w:t>
            </w:r>
          </w:p>
        </w:tc>
      </w:tr>
      <w:tr>
        <w:tc>
          <w:tcPr>
            <w:tcW w:type="dxa" w:w="1814"/>
            <w:tcMar>
              <w:top w:w="120" w:type="dxa"/>
              <w:bottom w:w="120" w:type="dxa"/>
              <w:left w:w="150" w:type="dxa"/>
              <w:right w:w="150" w:type="dxa"/>
            </w:tcMar>
          </w:tcPr>
          <w:p>
            <w:pPr>
              <w:spacing w:after="40" w:line="252" w:lineRule="auto"/>
            </w:pPr>
            <w:r>
              <w:rPr>
                <w:rFonts w:ascii="Calibri" w:hAnsi="Calibri"/>
                <w:b/>
                <w:sz w:val="19"/>
              </w:rPr>
              <w:t>4</w:t>
            </w:r>
          </w:p>
        </w:tc>
        <w:tc>
          <w:tcPr>
            <w:tcW w:type="dxa" w:w="1814"/>
            <w:tcMar>
              <w:top w:w="120" w:type="dxa"/>
              <w:bottom w:w="120" w:type="dxa"/>
              <w:left w:w="150" w:type="dxa"/>
              <w:right w:w="150" w:type="dxa"/>
            </w:tcMar>
          </w:tcPr>
          <w:p>
            <w:pPr>
              <w:spacing w:after="40" w:line="252" w:lineRule="auto"/>
            </w:pPr>
            <w:r>
              <w:rPr>
                <w:rFonts w:ascii="Calibri" w:hAnsi="Calibri"/>
                <w:sz w:val="19"/>
              </w:rPr>
              <w:t>Çağrı kayıt sistemi (CRM) eksiksiz girişi</w:t>
            </w:r>
          </w:p>
        </w:tc>
        <w:tc>
          <w:tcPr>
            <w:tcW w:type="dxa" w:w="1814"/>
            <w:tcMar>
              <w:top w:w="120" w:type="dxa"/>
              <w:bottom w:w="120" w:type="dxa"/>
              <w:left w:w="150" w:type="dxa"/>
              <w:right w:w="150" w:type="dxa"/>
            </w:tcMar>
          </w:tcPr>
          <w:p>
            <w:pPr>
              <w:spacing w:after="40" w:line="252" w:lineRule="auto"/>
            </w:pPr>
            <w:r>
              <w:rPr>
                <w:rFonts w:ascii="Calibri" w:hAnsi="Calibri"/>
                <w:sz w:val="19"/>
              </w:rPr>
              <w:t>Günlük bilet (ticket) kapatma</w:t>
            </w:r>
          </w:p>
        </w:tc>
        <w:tc>
          <w:tcPr>
            <w:tcW w:type="dxa" w:w="1814"/>
            <w:tcMar>
              <w:top w:w="120" w:type="dxa"/>
              <w:bottom w:w="120" w:type="dxa"/>
              <w:left w:w="150" w:type="dxa"/>
              <w:right w:w="150" w:type="dxa"/>
            </w:tcMar>
          </w:tcPr>
          <w:p>
            <w:pPr>
              <w:spacing w:after="40" w:line="252" w:lineRule="auto"/>
            </w:pPr>
            <w:r>
              <w:rPr>
                <w:rFonts w:ascii="Calibri" w:hAnsi="Calibri"/>
                <w:b/>
                <w:sz w:val="19"/>
              </w:rPr>
              <w:t>%100 Doğru Kategori</w:t>
            </w:r>
          </w:p>
        </w:tc>
        <w:tc>
          <w:tcPr>
            <w:tcW w:type="dxa" w:w="1814"/>
            <w:tcMar>
              <w:top w:w="120" w:type="dxa"/>
              <w:bottom w:w="120" w:type="dxa"/>
              <w:left w:w="150" w:type="dxa"/>
              <w:right w:w="150" w:type="dxa"/>
            </w:tcMar>
          </w:tcPr>
          <w:p>
            <w:pPr>
              <w:spacing w:after="40" w:line="252" w:lineRule="auto"/>
            </w:pPr>
            <w:r>
              <w:rPr>
                <w:rFonts w:ascii="Calibri" w:hAnsi="Calibri"/>
                <w:sz w:val="19"/>
              </w:rPr>
              <w:t>Sürekli</w:t>
            </w:r>
          </w:p>
        </w:tc>
      </w:tr>
    </w:tbl>
    <w:p>
      <w:pPr>
        <w:spacing w:after="120"/>
      </w:pPr>
    </w:p>
    <w:p>
      <w:pPr>
        <w:spacing w:before="200" w:after="80"/>
      </w:pPr>
      <w:r>
        <w:rPr>
          <w:rFonts w:ascii="Calibri" w:hAnsi="Calibri"/>
          <w:b/>
          <w:color w:val="1E3A8A"/>
          <w:sz w:val="28"/>
        </w:rPr>
        <w:t>3. İŞVEREN TARAFINDAN SAĞLANACAK DESTEK VE KAYNAKLAR</w:t>
      </w:r>
    </w:p>
    <w:p>
      <w:pPr>
        <w:pStyle w:val="ListNumber"/>
        <w:spacing w:after="40" w:line="276" w:lineRule="auto"/>
      </w:pPr>
      <w:r>
        <w:rPr>
          <w:rFonts w:ascii="Calibri" w:hAnsi="Calibri"/>
          <w:b/>
        </w:rPr>
        <w:t>Eğitim Desteği:</w:t>
      </w:r>
      <w:r>
        <w:rPr>
          <w:rFonts w:ascii="Calibri" w:hAnsi="Calibri"/>
        </w:rPr>
        <w:t xml:space="preserve"> Çalışana 10 saatlik "İleri İletişim ve Problem Çözme Becerileri" online eğitimi tanımlanacaktır.</w:t>
      </w:r>
    </w:p>
    <w:p>
      <w:pPr>
        <w:pStyle w:val="ListNumber"/>
        <w:spacing w:after="40" w:line="276" w:lineRule="auto"/>
      </w:pPr>
      <w:r>
        <w:rPr>
          <w:rFonts w:ascii="Calibri" w:hAnsi="Calibri"/>
          <w:b/>
        </w:rPr>
        <w:t>Mentorluk Desteği:</w:t>
      </w:r>
      <w:r>
        <w:rPr>
          <w:rFonts w:ascii="Calibri" w:hAnsi="Calibri"/>
        </w:rPr>
        <w:t xml:space="preserve"> Takım lideri [Mentor Ad Soyad] haftada 2 saat birebir çağrı analizi ve vaka koçluğu yapacaktır.</w:t>
      </w:r>
    </w:p>
    <w:p>
      <w:pPr>
        <w:pStyle w:val="ListNumber"/>
        <w:spacing w:after="40" w:line="276" w:lineRule="auto"/>
      </w:pPr>
      <w:r>
        <w:rPr>
          <w:rFonts w:ascii="Calibri" w:hAnsi="Calibri"/>
          <w:b/>
        </w:rPr>
        <w:t>Teknik Destek:</w:t>
      </w:r>
      <w:r>
        <w:rPr>
          <w:rFonts w:ascii="Calibri" w:hAnsi="Calibri"/>
        </w:rPr>
        <w:t xml:space="preserve"> Kulaklık ve ses yazılımı BT tarafından yeniden kontrol edilecek ve güncellenecektir.</w:t>
      </w:r>
    </w:p>
    <w:p>
      <w:pPr>
        <w:spacing w:before="200" w:after="80"/>
      </w:pPr>
      <w:r>
        <w:rPr>
          <w:rFonts w:ascii="Calibri" w:hAnsi="Calibri"/>
          <w:b/>
          <w:color w:val="1E3A8A"/>
          <w:sz w:val="28"/>
        </w:rPr>
        <w:t>4. ARA DEĞERLENDİRME TOPLANTILARI TAKVİMİ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512"/>
        <w:gridCol w:w="1512"/>
        <w:gridCol w:w="1512"/>
        <w:gridCol w:w="1512"/>
        <w:gridCol w:w="1512"/>
        <w:gridCol w:w="1512"/>
      </w:tblGrid>
      <w:tr>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Periyot</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Toplantı Tarihi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İncelenen Metrikler</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Ara Değerlendirme Notu</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Yönetici İmza</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Çalışan İmza</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15. Gün</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15.02.2026</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Çağrı adetleri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[Gelişme başladı, günlük 42 çağrıya ulaşıldı]</w:t>
            </w:r>
          </w:p>
        </w:tc>
        <w:tc>
          <w:tcPr>
            <w:tcW w:type="dxa" w:w="1512"/>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w:t>
            </w:r>
          </w:p>
        </w:tc>
        <w:tc>
          <w:tcPr>
            <w:tcW w:type="dxa" w:w="1512"/>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w:t>
            </w:r>
          </w:p>
        </w:tc>
      </w:tr>
      <w:tr>
        <w:tc>
          <w:tcPr>
            <w:tcW w:type="dxa" w:w="1512"/>
            <w:tcMar>
              <w:top w:w="120" w:type="dxa"/>
              <w:bottom w:w="120" w:type="dxa"/>
              <w:left w:w="150" w:type="dxa"/>
              <w:right w:w="150" w:type="dxa"/>
            </w:tcMar>
          </w:tcPr>
          <w:p>
            <w:pPr>
              <w:spacing w:after="40" w:line="252" w:lineRule="auto"/>
            </w:pPr>
            <w:r>
              <w:rPr>
                <w:rFonts w:ascii="Calibri" w:hAnsi="Calibri"/>
                <w:b/>
                <w:sz w:val="19"/>
              </w:rPr>
              <w:t>30. Gün</w:t>
            </w:r>
          </w:p>
        </w:tc>
        <w:tc>
          <w:tcPr>
            <w:tcW w:type="dxa" w:w="1512"/>
            <w:tcMar>
              <w:top w:w="120" w:type="dxa"/>
              <w:bottom w:w="120" w:type="dxa"/>
              <w:left w:w="150" w:type="dxa"/>
              <w:right w:w="150" w:type="dxa"/>
            </w:tcMar>
          </w:tcPr>
          <w:p>
            <w:pPr>
              <w:spacing w:after="40" w:line="252" w:lineRule="auto"/>
            </w:pPr>
            <w:r>
              <w:rPr>
                <w:rFonts w:ascii="Calibri" w:hAnsi="Calibri"/>
                <w:sz w:val="19"/>
              </w:rPr>
              <w:t>01.03.2026</w:t>
            </w:r>
          </w:p>
        </w:tc>
        <w:tc>
          <w:tcPr>
            <w:tcW w:type="dxa" w:w="1512"/>
            <w:tcMar>
              <w:top w:w="120" w:type="dxa"/>
              <w:bottom w:w="120" w:type="dxa"/>
              <w:left w:w="150" w:type="dxa"/>
              <w:right w:w="150" w:type="dxa"/>
            </w:tcMar>
          </w:tcPr>
          <w:p>
            <w:pPr>
              <w:spacing w:after="40" w:line="252" w:lineRule="auto"/>
            </w:pPr>
            <w:r>
              <w:rPr>
                <w:rFonts w:ascii="Calibri" w:hAnsi="Calibri"/>
                <w:sz w:val="19"/>
              </w:rPr>
              <w:t>Çağrı adedi + Kalite</w:t>
            </w:r>
          </w:p>
        </w:tc>
        <w:tc>
          <w:tcPr>
            <w:tcW w:type="dxa" w:w="1512"/>
            <w:tcMar>
              <w:top w:w="120" w:type="dxa"/>
              <w:bottom w:w="120" w:type="dxa"/>
              <w:left w:w="150" w:type="dxa"/>
              <w:right w:w="150" w:type="dxa"/>
            </w:tcMar>
          </w:tcPr>
          <w:p>
            <w:pPr>
              <w:spacing w:after="40" w:line="252" w:lineRule="auto"/>
            </w:pPr>
            <w:r>
              <w:rPr>
                <w:rFonts w:ascii="Calibri" w:hAnsi="Calibri"/>
                <w:sz w:val="19"/>
              </w:rPr>
              <w:t>[Çağrı 48 oldu, kalite skoru %72 seviyesinde]</w:t>
            </w:r>
          </w:p>
        </w:tc>
        <w:tc>
          <w:tcPr>
            <w:tcW w:type="dxa" w:w="1512"/>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__</w:t>
            </w:r>
          </w:p>
        </w:tc>
        <w:tc>
          <w:tcPr>
            <w:tcW w:type="dxa" w:w="1512"/>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__</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45. Gün</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15.03.2026</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AHT ve CRM verisi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[Süreler standart banda girdi, koçluk sürüyor]</w:t>
            </w:r>
          </w:p>
        </w:tc>
        <w:tc>
          <w:tcPr>
            <w:tcW w:type="dxa" w:w="1512"/>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w:t>
            </w:r>
          </w:p>
        </w:tc>
        <w:tc>
          <w:tcPr>
            <w:tcW w:type="dxa" w:w="1512"/>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w:t>
            </w:r>
          </w:p>
        </w:tc>
      </w:tr>
    </w:tbl>
    <w:p>
      <w:pPr>
        <w:spacing w:after="120"/>
      </w:pPr>
    </w:p>
    <w:p>
      <w:pPr>
        <w:spacing w:before="200" w:after="80"/>
      </w:pPr>
      <w:r>
        <w:rPr>
          <w:rFonts w:ascii="Calibri" w:hAnsi="Calibri"/>
          <w:b/>
          <w:color w:val="1E3A8A"/>
          <w:sz w:val="28"/>
        </w:rPr>
        <w:t>5. NİHAİ DEĞERLENDİRME VE SONUÇ (60. GÜN SONU)</w:t>
      </w:r>
    </w:p>
    <w:p>
      <w:pPr>
        <w:pStyle w:val="ListBullet"/>
        <w:spacing w:after="40" w:line="276" w:lineRule="auto"/>
      </w:pPr>
      <w:r>
        <w:rPr>
          <w:rFonts w:ascii="Calibri" w:hAnsi="Calibri"/>
        </w:rPr>
        <w:t xml:space="preserve">[ ] </w:t>
      </w:r>
      <w:r>
        <w:rPr>
          <w:rFonts w:ascii="Calibri" w:hAnsi="Calibri"/>
          <w:b/>
        </w:rPr>
        <w:t>BAŞARILI:</w:t>
      </w:r>
      <w:r>
        <w:rPr>
          <w:rFonts w:ascii="Calibri" w:hAnsi="Calibri"/>
        </w:rPr>
        <w:t xml:space="preserve"> Çalışan hedeflenen standartlara ulaşmış, performans açığı kapanmıştır. PIP süreci olumlu tamamlanmıştır.</w:t>
      </w:r>
    </w:p>
    <w:p>
      <w:pPr>
        <w:pStyle w:val="ListBullet"/>
        <w:spacing w:after="40" w:line="276" w:lineRule="auto"/>
      </w:pPr>
      <w:r>
        <w:rPr>
          <w:rFonts w:ascii="Calibri" w:hAnsi="Calibri"/>
        </w:rPr>
        <w:t xml:space="preserve">[ ] </w:t>
      </w:r>
      <w:r>
        <w:rPr>
          <w:rFonts w:ascii="Calibri" w:hAnsi="Calibri"/>
          <w:b/>
        </w:rPr>
        <w:t>KISMİ GELİŞİM:</w:t>
      </w:r>
      <w:r>
        <w:rPr>
          <w:rFonts w:ascii="Calibri" w:hAnsi="Calibri"/>
        </w:rPr>
        <w:t xml:space="preserve"> Belirgin ilerleme kaydedilmiş olup PIP süresinin 30 gün daha uzatılmasına karar verilmiştir.</w:t>
      </w:r>
    </w:p>
    <w:p>
      <w:pPr>
        <w:pStyle w:val="ListBullet"/>
        <w:spacing w:after="40" w:line="276" w:lineRule="auto"/>
      </w:pPr>
      <w:r>
        <w:rPr>
          <w:rFonts w:ascii="Calibri" w:hAnsi="Calibri"/>
        </w:rPr>
        <w:t xml:space="preserve">[ ] </w:t>
      </w:r>
      <w:r>
        <w:rPr>
          <w:rFonts w:ascii="Calibri" w:hAnsi="Calibri"/>
          <w:b/>
        </w:rPr>
        <w:t>BAŞARISIZ:</w:t>
      </w:r>
      <w:r>
        <w:rPr>
          <w:rFonts w:ascii="Calibri" w:hAnsi="Calibri"/>
        </w:rPr>
        <w:t xml:space="preserve"> Sağlanan eğitim, rehberlik ve zamana rağmen çalışan asgari performans hedeflerine ulaşamamıştır.</w:t>
      </w:r>
    </w:p>
    <w:p>
      <w:pPr>
        <w:spacing w:before="160" w:after="60"/>
      </w:pPr>
      <w:r>
        <w:rPr>
          <w:rFonts w:ascii="Calibri" w:hAnsi="Calibri"/>
          <w:b/>
          <w:color w:val="475569"/>
          <w:sz w:val="24"/>
        </w:rPr>
        <w:t>HUKUKİ İHTAR VE İMZALAR</w:t>
      </w:r>
    </w:p>
    <w:p>
      <w:pPr>
        <w:spacing w:after="80" w:line="276" w:lineRule="auto"/>
      </w:pPr>
      <w:r>
        <w:rPr>
          <w:rFonts w:ascii="Calibri" w:hAnsi="Calibri"/>
        </w:rPr>
        <w:t>İşbu planı okuduğumu, hedeflenen performans kriterlerini anladığımı, tarafıma gerekli destek ve rehberliğin sağlanacağını ve sürecin sonunda hedeflere ulaşılamaması halinde iş sözleşmemin 4857 sayılı İş Kanunu'nun 17 ve 18. maddeleri uyarınca geçerli nedenle feshedilebileceğini bildiğimi kabul ve beyan ederim.</w:t>
      </w:r>
    </w:p>
    <w:p>
      <w:pPr>
        <w:spacing w:after="80" w:line="276" w:lineRule="auto"/>
      </w:pPr>
      <w:r>
        <w:rPr>
          <w:rFonts w:ascii="Calibri" w:hAnsi="Calibri"/>
          <w:b/>
        </w:rPr>
        <w:t>Çalışanın Adı Soyadı:</w:t>
      </w:r>
      <w:r>
        <w:rPr>
          <w:rFonts w:ascii="Calibri" w:hAnsi="Calibri"/>
        </w:rPr>
        <w:t xml:space="preserve"> [Çalışan Adı Soyadı]  |  Tarih: [GG/AA/YYYY]  |  İmza: </w:t>
      </w:r>
      <w:r>
        <w:rPr>
          <w:rFonts w:ascii="Calibri" w:hAnsi="Calibri"/>
          <w:b/>
        </w:rPr>
        <w:t>_</w:t>
      </w:r>
      <w:r>
        <w:rPr>
          <w:rFonts w:ascii="Calibri" w:hAnsi="Calibri"/>
          <w:b/>
        </w:rPr>
        <w:t>_</w:t>
      </w:r>
      <w:r>
        <w:rPr>
          <w:rFonts w:ascii="Calibri" w:hAnsi="Calibri"/>
          <w:b/>
        </w:rPr>
        <w:t>_</w:t>
      </w:r>
      <w:r>
        <w:rPr>
          <w:rFonts w:ascii="Calibri" w:hAnsi="Calibri"/>
          <w:i/>
        </w:rPr>
        <w:br/>
        <w:t>Birim Yöneticisi: [Yönetici Adı Soyadı]  |  Tarih: [GG/AA/YYYY]  |  İmza: ___</w:t>
      </w:r>
      <w:r>
        <w:rPr>
          <w:rFonts w:ascii="Calibri" w:hAnsi="Calibri"/>
        </w:rPr>
        <w:br/>
      </w:r>
      <w:r>
        <w:rPr>
          <w:rFonts w:ascii="Calibri" w:hAnsi="Calibri"/>
          <w:b/>
        </w:rPr>
        <w:t>İnsan Kaynakları Müdürü:</w:t>
      </w:r>
      <w:r>
        <w:rPr>
          <w:rFonts w:ascii="Calibri" w:hAnsi="Calibri"/>
        </w:rPr>
        <w:t xml:space="preserve"> [İK Müdürü Adı Soyadı]  |  Tarih: [GG/AA/YYYY]  |  İmza: </w:t>
      </w:r>
      <w:r>
        <w:rPr>
          <w:rFonts w:ascii="Calibri" w:hAnsi="Calibri"/>
          <w:b/>
        </w:rPr>
        <w:t>_</w:t>
      </w:r>
      <w:r>
        <w:rPr>
          <w:rFonts w:ascii="Calibri" w:hAnsi="Calibri"/>
          <w:b/>
        </w:rPr>
        <w:t>_</w:t>
      </w:r>
      <w:r>
        <w:rPr>
          <w:rFonts w:ascii="Calibri" w:hAnsi="Calibri"/>
          <w:b/>
        </w:rPr>
        <w:t>_</w:t>
      </w:r>
      <w:r>
        <w:rPr>
          <w:rFonts w:ascii="Calibri" w:hAnsi="Calibri"/>
        </w:rPr>
        <w:t>_</w:t>
      </w:r>
    </w:p>
    <w:p>
      <w:pPr>
        <w:spacing w:before="200" w:after="80"/>
      </w:pPr>
      <w:r>
        <w:rPr>
          <w:rFonts w:ascii="Calibri" w:hAnsi="Calibri"/>
          <w:b/>
          <w:color w:val="1E3A8A"/>
          <w:sz w:val="28"/>
        </w:rPr>
        <w:t>6. KANIT SETİ VE VERİ KAYNAKLARI (BELGELENDİRME ZORUNLULUĞU)</w:t>
      </w:r>
    </w:p>
    <w:p>
      <w:pPr>
        <w:spacing w:before="80" w:after="120"/>
        <w:ind w:left="576"/>
      </w:pPr>
      <w:r>
        <w:rPr>
          <w:rFonts w:ascii="Calibri" w:hAnsi="Calibri"/>
          <w:i/>
          <w:color w:val="64748B"/>
          <w:sz w:val="21"/>
        </w:rPr>
        <w:t>Performans yetersizliğine dayanan fesih, ancak ölçüm verisinin yazılı ve tarihli belgeye bağlanması hâlinde geçerli sayılır. Veri bulunmayan PIP dosyası, işe iade davasında işverenin aleyhine delil oluşturur.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512"/>
        <w:gridCol w:w="1512"/>
        <w:gridCol w:w="1512"/>
        <w:gridCol w:w="1512"/>
        <w:gridCol w:w="1512"/>
        <w:gridCol w:w="1512"/>
      </w:tblGrid>
      <w:tr>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No</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Kanıt Türü</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Kaynak / Sistem</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Toplama Sıklığı</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Saklama Yeri</w:t>
            </w:r>
          </w:p>
        </w:tc>
        <w:tc>
          <w:tcPr>
            <w:tcW w:type="dxa" w:w="1512"/>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Çağrı adedi / AHT / cevaplama oranı raporu</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Çağrı merkezi (ACD) raporu</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Günlük</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[Performans/PIP-2026] klasörü</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Takım Lideri</w:t>
            </w:r>
          </w:p>
        </w:tc>
      </w:tr>
      <w:tr>
        <w:tc>
          <w:tcPr>
            <w:tcW w:type="dxa" w:w="1512"/>
            <w:tcMar>
              <w:top w:w="120" w:type="dxa"/>
              <w:bottom w:w="120" w:type="dxa"/>
              <w:left w:w="150" w:type="dxa"/>
              <w:right w:w="150" w:type="dxa"/>
            </w:tcMar>
          </w:tcPr>
          <w:p>
            <w:pPr>
              <w:spacing w:after="40" w:line="252" w:lineRule="auto"/>
            </w:pPr>
            <w:r>
              <w:rPr>
                <w:rFonts w:ascii="Calibri" w:hAnsi="Calibri"/>
                <w:b/>
                <w:sz w:val="19"/>
              </w:rPr>
              <w:t>2</w:t>
            </w:r>
          </w:p>
        </w:tc>
        <w:tc>
          <w:tcPr>
            <w:tcW w:type="dxa" w:w="1512"/>
            <w:tcMar>
              <w:top w:w="120" w:type="dxa"/>
              <w:bottom w:w="120" w:type="dxa"/>
              <w:left w:w="150" w:type="dxa"/>
              <w:right w:w="150" w:type="dxa"/>
            </w:tcMar>
          </w:tcPr>
          <w:p>
            <w:pPr>
              <w:spacing w:after="40" w:line="252" w:lineRule="auto"/>
            </w:pPr>
            <w:r>
              <w:rPr>
                <w:rFonts w:ascii="Calibri" w:hAnsi="Calibri"/>
                <w:sz w:val="19"/>
              </w:rPr>
              <w:t>Kalite güvence (QA) dinleme puanları</w:t>
            </w:r>
          </w:p>
        </w:tc>
        <w:tc>
          <w:tcPr>
            <w:tcW w:type="dxa" w:w="1512"/>
            <w:tcMar>
              <w:top w:w="120" w:type="dxa"/>
              <w:bottom w:w="120" w:type="dxa"/>
              <w:left w:w="150" w:type="dxa"/>
              <w:right w:w="150" w:type="dxa"/>
            </w:tcMar>
          </w:tcPr>
          <w:p>
            <w:pPr>
              <w:spacing w:after="40" w:line="252" w:lineRule="auto"/>
            </w:pPr>
            <w:r>
              <w:rPr>
                <w:rFonts w:ascii="Calibri" w:hAnsi="Calibri"/>
                <w:sz w:val="19"/>
              </w:rPr>
              <w:t>QA dinleme formu</w:t>
            </w:r>
          </w:p>
        </w:tc>
        <w:tc>
          <w:tcPr>
            <w:tcW w:type="dxa" w:w="1512"/>
            <w:tcMar>
              <w:top w:w="120" w:type="dxa"/>
              <w:bottom w:w="120" w:type="dxa"/>
              <w:left w:w="150" w:type="dxa"/>
              <w:right w:w="150" w:type="dxa"/>
            </w:tcMar>
          </w:tcPr>
          <w:p>
            <w:pPr>
              <w:spacing w:after="40" w:line="252" w:lineRule="auto"/>
            </w:pPr>
            <w:r>
              <w:rPr>
                <w:rFonts w:ascii="Calibri" w:hAnsi="Calibri"/>
                <w:sz w:val="19"/>
              </w:rPr>
              <w:t>Haftalık</w:t>
            </w:r>
          </w:p>
        </w:tc>
        <w:tc>
          <w:tcPr>
            <w:tcW w:type="dxa" w:w="1512"/>
            <w:tcMar>
              <w:top w:w="120" w:type="dxa"/>
              <w:bottom w:w="120" w:type="dxa"/>
              <w:left w:w="150" w:type="dxa"/>
              <w:right w:w="150" w:type="dxa"/>
            </w:tcMar>
          </w:tcPr>
          <w:p>
            <w:pPr>
              <w:spacing w:after="40" w:line="252" w:lineRule="auto"/>
            </w:pPr>
            <w:r>
              <w:rPr>
                <w:rFonts w:ascii="Calibri" w:hAnsi="Calibri"/>
                <w:sz w:val="19"/>
              </w:rPr>
              <w:t>[Kalite/2026] klasörü</w:t>
            </w:r>
          </w:p>
        </w:tc>
        <w:tc>
          <w:tcPr>
            <w:tcW w:type="dxa" w:w="1512"/>
            <w:tcMar>
              <w:top w:w="120" w:type="dxa"/>
              <w:bottom w:w="120" w:type="dxa"/>
              <w:left w:w="150" w:type="dxa"/>
              <w:right w:w="150" w:type="dxa"/>
            </w:tcMar>
          </w:tcPr>
          <w:p>
            <w:pPr>
              <w:spacing w:after="40" w:line="252" w:lineRule="auto"/>
            </w:pPr>
            <w:r>
              <w:rPr>
                <w:rFonts w:ascii="Calibri" w:hAnsi="Calibri"/>
                <w:sz w:val="19"/>
              </w:rPr>
              <w:t>Kalite Uzmanı</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CSAT / memnuniyet anketi sonuçları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Müşteri anketi raporu</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Aylık</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CRM rapor arşivi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Müşteri Deneyimi</w:t>
            </w:r>
          </w:p>
        </w:tc>
      </w:tr>
      <w:tr>
        <w:tc>
          <w:tcPr>
            <w:tcW w:type="dxa" w:w="1512"/>
            <w:tcMar>
              <w:top w:w="120" w:type="dxa"/>
              <w:bottom w:w="120" w:type="dxa"/>
              <w:left w:w="150" w:type="dxa"/>
              <w:right w:w="150" w:type="dxa"/>
            </w:tcMar>
          </w:tcPr>
          <w:p>
            <w:pPr>
              <w:spacing w:after="40" w:line="252" w:lineRule="auto"/>
            </w:pPr>
            <w:r>
              <w:rPr>
                <w:rFonts w:ascii="Calibri" w:hAnsi="Calibri"/>
                <w:b/>
                <w:sz w:val="19"/>
              </w:rPr>
              <w:t>4</w:t>
            </w:r>
          </w:p>
        </w:tc>
        <w:tc>
          <w:tcPr>
            <w:tcW w:type="dxa" w:w="1512"/>
            <w:tcMar>
              <w:top w:w="120" w:type="dxa"/>
              <w:bottom w:w="120" w:type="dxa"/>
              <w:left w:w="150" w:type="dxa"/>
              <w:right w:w="150" w:type="dxa"/>
            </w:tcMar>
          </w:tcPr>
          <w:p>
            <w:pPr>
              <w:spacing w:after="40" w:line="252" w:lineRule="auto"/>
            </w:pPr>
            <w:r>
              <w:rPr>
                <w:rFonts w:ascii="Calibri" w:hAnsi="Calibri"/>
                <w:sz w:val="19"/>
              </w:rPr>
              <w:t>CRM bilet kaydı doğruluk denetimi</w:t>
            </w:r>
          </w:p>
        </w:tc>
        <w:tc>
          <w:tcPr>
            <w:tcW w:type="dxa" w:w="1512"/>
            <w:tcMar>
              <w:top w:w="120" w:type="dxa"/>
              <w:bottom w:w="120" w:type="dxa"/>
              <w:left w:w="150" w:type="dxa"/>
              <w:right w:w="150" w:type="dxa"/>
            </w:tcMar>
          </w:tcPr>
          <w:p>
            <w:pPr>
              <w:spacing w:after="40" w:line="252" w:lineRule="auto"/>
            </w:pPr>
            <w:r>
              <w:rPr>
                <w:rFonts w:ascii="Calibri" w:hAnsi="Calibri"/>
                <w:sz w:val="19"/>
              </w:rPr>
              <w:t>CRM (ticket) sistemi</w:t>
            </w:r>
          </w:p>
        </w:tc>
        <w:tc>
          <w:tcPr>
            <w:tcW w:type="dxa" w:w="1512"/>
            <w:tcMar>
              <w:top w:w="120" w:type="dxa"/>
              <w:bottom w:w="120" w:type="dxa"/>
              <w:left w:w="150" w:type="dxa"/>
              <w:right w:w="150" w:type="dxa"/>
            </w:tcMar>
          </w:tcPr>
          <w:p>
            <w:pPr>
              <w:spacing w:after="40" w:line="252" w:lineRule="auto"/>
            </w:pPr>
            <w:r>
              <w:rPr>
                <w:rFonts w:ascii="Calibri" w:hAnsi="Calibri"/>
                <w:sz w:val="19"/>
              </w:rPr>
              <w:t>Haftalık</w:t>
            </w:r>
          </w:p>
        </w:tc>
        <w:tc>
          <w:tcPr>
            <w:tcW w:type="dxa" w:w="1512"/>
            <w:tcMar>
              <w:top w:w="120" w:type="dxa"/>
              <w:bottom w:w="120" w:type="dxa"/>
              <w:left w:w="150" w:type="dxa"/>
              <w:right w:w="150" w:type="dxa"/>
            </w:tcMar>
          </w:tcPr>
          <w:p>
            <w:pPr>
              <w:spacing w:after="40" w:line="252" w:lineRule="auto"/>
            </w:pPr>
            <w:r>
              <w:rPr>
                <w:rFonts w:ascii="Calibri" w:hAnsi="Calibri"/>
                <w:sz w:val="19"/>
              </w:rPr>
              <w:t>CRM denetim raporu</w:t>
            </w:r>
          </w:p>
        </w:tc>
        <w:tc>
          <w:tcPr>
            <w:tcW w:type="dxa" w:w="1512"/>
            <w:tcMar>
              <w:top w:w="120" w:type="dxa"/>
              <w:bottom w:w="120" w:type="dxa"/>
              <w:left w:w="150" w:type="dxa"/>
              <w:right w:w="150" w:type="dxa"/>
            </w:tcMar>
          </w:tcPr>
          <w:p>
            <w:pPr>
              <w:spacing w:after="40" w:line="252" w:lineRule="auto"/>
            </w:pPr>
            <w:r>
              <w:rPr>
                <w:rFonts w:ascii="Calibri" w:hAnsi="Calibri"/>
                <w:sz w:val="19"/>
              </w:rPr>
              <w:t>Takım Lideri</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Devamsızlık ve izin kayıtları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PDKS/İK sistemi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Aylık</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Özlük dosyası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İK Uzmanı</w:t>
            </w:r>
          </w:p>
        </w:tc>
      </w:tr>
      <w:tr>
        <w:tc>
          <w:tcPr>
            <w:tcW w:type="dxa" w:w="1512"/>
            <w:tcMar>
              <w:top w:w="120" w:type="dxa"/>
              <w:bottom w:w="120" w:type="dxa"/>
              <w:left w:w="150" w:type="dxa"/>
              <w:right w:w="150" w:type="dxa"/>
            </w:tcMar>
          </w:tcPr>
          <w:p>
            <w:pPr>
              <w:spacing w:after="40" w:line="252" w:lineRule="auto"/>
            </w:pPr>
            <w:r>
              <w:rPr>
                <w:rFonts w:ascii="Calibri" w:hAnsi="Calibri"/>
                <w:b/>
                <w:sz w:val="19"/>
              </w:rPr>
              <w:t>6</w:t>
            </w:r>
          </w:p>
        </w:tc>
        <w:tc>
          <w:tcPr>
            <w:tcW w:type="dxa" w:w="1512"/>
            <w:tcMar>
              <w:top w:w="120" w:type="dxa"/>
              <w:bottom w:w="120" w:type="dxa"/>
              <w:left w:w="150" w:type="dxa"/>
              <w:right w:w="150" w:type="dxa"/>
            </w:tcMar>
          </w:tcPr>
          <w:p>
            <w:pPr>
              <w:spacing w:after="40" w:line="252" w:lineRule="auto"/>
            </w:pPr>
            <w:r>
              <w:rPr>
                <w:rFonts w:ascii="Calibri" w:hAnsi="Calibri"/>
                <w:sz w:val="19"/>
              </w:rPr>
              <w:t>Eğitim katılım ve sınav sonuç belgesi</w:t>
            </w:r>
          </w:p>
        </w:tc>
        <w:tc>
          <w:tcPr>
            <w:tcW w:type="dxa" w:w="1512"/>
            <w:tcMar>
              <w:top w:w="120" w:type="dxa"/>
              <w:bottom w:w="120" w:type="dxa"/>
              <w:left w:w="150" w:type="dxa"/>
              <w:right w:w="150" w:type="dxa"/>
            </w:tcMar>
          </w:tcPr>
          <w:p>
            <w:pPr>
              <w:spacing w:after="40" w:line="252" w:lineRule="auto"/>
            </w:pPr>
            <w:r>
              <w:rPr>
                <w:rFonts w:ascii="Calibri" w:hAnsi="Calibri"/>
                <w:sz w:val="19"/>
              </w:rPr>
              <w:t>Eğitim platformu (LMS)</w:t>
            </w:r>
          </w:p>
        </w:tc>
        <w:tc>
          <w:tcPr>
            <w:tcW w:type="dxa" w:w="1512"/>
            <w:tcMar>
              <w:top w:w="120" w:type="dxa"/>
              <w:bottom w:w="120" w:type="dxa"/>
              <w:left w:w="150" w:type="dxa"/>
              <w:right w:w="150" w:type="dxa"/>
            </w:tcMar>
          </w:tcPr>
          <w:p>
            <w:pPr>
              <w:spacing w:after="40" w:line="252" w:lineRule="auto"/>
            </w:pPr>
            <w:r>
              <w:rPr>
                <w:rFonts w:ascii="Calibri" w:hAnsi="Calibri"/>
                <w:sz w:val="19"/>
              </w:rPr>
              <w:t>Eğitim sonrası</w:t>
            </w:r>
          </w:p>
        </w:tc>
        <w:tc>
          <w:tcPr>
            <w:tcW w:type="dxa" w:w="1512"/>
            <w:tcMar>
              <w:top w:w="120" w:type="dxa"/>
              <w:bottom w:w="120" w:type="dxa"/>
              <w:left w:w="150" w:type="dxa"/>
              <w:right w:w="150" w:type="dxa"/>
            </w:tcMar>
          </w:tcPr>
          <w:p>
            <w:pPr>
              <w:spacing w:after="40" w:line="252" w:lineRule="auto"/>
            </w:pPr>
            <w:r>
              <w:rPr>
                <w:rFonts w:ascii="Calibri" w:hAnsi="Calibri"/>
                <w:sz w:val="19"/>
              </w:rPr>
              <w:t>Özlük dosyası</w:t>
            </w:r>
          </w:p>
        </w:tc>
        <w:tc>
          <w:tcPr>
            <w:tcW w:type="dxa" w:w="1512"/>
            <w:tcMar>
              <w:top w:w="120" w:type="dxa"/>
              <w:bottom w:w="120" w:type="dxa"/>
              <w:left w:w="150" w:type="dxa"/>
              <w:right w:w="150" w:type="dxa"/>
            </w:tcMar>
          </w:tcPr>
          <w:p>
            <w:pPr>
              <w:spacing w:after="40" w:line="252" w:lineRule="auto"/>
            </w:pPr>
            <w:r>
              <w:rPr>
                <w:rFonts w:ascii="Calibri" w:hAnsi="Calibri"/>
                <w:sz w:val="19"/>
              </w:rPr>
              <w:t>İK Uzmanı</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Mentorluk ve koçluk görüşme tutanakları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Birebir görüşme tutanağı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Haftalık</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PIP dosyası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Mentor / Yönetici</w:t>
            </w:r>
          </w:p>
        </w:tc>
      </w:tr>
      <w:tr>
        <w:tc>
          <w:tcPr>
            <w:tcW w:type="dxa" w:w="1512"/>
            <w:tcMar>
              <w:top w:w="120" w:type="dxa"/>
              <w:bottom w:w="120" w:type="dxa"/>
              <w:left w:w="150" w:type="dxa"/>
              <w:right w:w="150" w:type="dxa"/>
            </w:tcMar>
          </w:tcPr>
          <w:p>
            <w:pPr>
              <w:spacing w:after="40" w:line="252" w:lineRule="auto"/>
            </w:pPr>
            <w:r>
              <w:rPr>
                <w:rFonts w:ascii="Calibri" w:hAnsi="Calibri"/>
                <w:b/>
                <w:sz w:val="19"/>
              </w:rPr>
              <w:t>8</w:t>
            </w:r>
          </w:p>
        </w:tc>
        <w:tc>
          <w:tcPr>
            <w:tcW w:type="dxa" w:w="1512"/>
            <w:tcMar>
              <w:top w:w="120" w:type="dxa"/>
              <w:bottom w:w="120" w:type="dxa"/>
              <w:left w:w="150" w:type="dxa"/>
              <w:right w:w="150" w:type="dxa"/>
            </w:tcMar>
          </w:tcPr>
          <w:p>
            <w:pPr>
              <w:spacing w:after="40" w:line="252" w:lineRule="auto"/>
            </w:pPr>
            <w:r>
              <w:rPr>
                <w:rFonts w:ascii="Calibri" w:hAnsi="Calibri"/>
                <w:sz w:val="19"/>
              </w:rPr>
              <w:t>Ara ve nihai değerlendirme toplantı tutanakları</w:t>
            </w:r>
          </w:p>
        </w:tc>
        <w:tc>
          <w:tcPr>
            <w:tcW w:type="dxa" w:w="1512"/>
            <w:tcMar>
              <w:top w:w="120" w:type="dxa"/>
              <w:bottom w:w="120" w:type="dxa"/>
              <w:left w:w="150" w:type="dxa"/>
              <w:right w:w="150" w:type="dxa"/>
            </w:tcMar>
          </w:tcPr>
          <w:p>
            <w:pPr>
              <w:spacing w:after="40" w:line="252" w:lineRule="auto"/>
            </w:pPr>
            <w:r>
              <w:rPr>
                <w:rFonts w:ascii="Calibri" w:hAnsi="Calibri"/>
                <w:sz w:val="19"/>
              </w:rPr>
              <w:t>Bu planın 4. ve 5. bölümleri</w:t>
            </w:r>
          </w:p>
        </w:tc>
        <w:tc>
          <w:tcPr>
            <w:tcW w:type="dxa" w:w="1512"/>
            <w:tcMar>
              <w:top w:w="120" w:type="dxa"/>
              <w:bottom w:w="120" w:type="dxa"/>
              <w:left w:w="150" w:type="dxa"/>
              <w:right w:w="150" w:type="dxa"/>
            </w:tcMar>
          </w:tcPr>
          <w:p>
            <w:pPr>
              <w:spacing w:after="40" w:line="252" w:lineRule="auto"/>
            </w:pPr>
            <w:r>
              <w:rPr>
                <w:rFonts w:ascii="Calibri" w:hAnsi="Calibri"/>
                <w:sz w:val="19"/>
              </w:rPr>
              <w:t>15/30/45/60. gün</w:t>
            </w:r>
          </w:p>
        </w:tc>
        <w:tc>
          <w:tcPr>
            <w:tcW w:type="dxa" w:w="1512"/>
            <w:tcMar>
              <w:top w:w="120" w:type="dxa"/>
              <w:bottom w:w="120" w:type="dxa"/>
              <w:left w:w="150" w:type="dxa"/>
              <w:right w:w="150" w:type="dxa"/>
            </w:tcMar>
          </w:tcPr>
          <w:p>
            <w:pPr>
              <w:spacing w:after="40" w:line="252" w:lineRule="auto"/>
            </w:pPr>
            <w:r>
              <w:rPr>
                <w:rFonts w:ascii="Calibri" w:hAnsi="Calibri"/>
                <w:sz w:val="19"/>
              </w:rPr>
              <w:t>PIP dosyası</w:t>
            </w:r>
          </w:p>
        </w:tc>
        <w:tc>
          <w:tcPr>
            <w:tcW w:type="dxa" w:w="1512"/>
            <w:tcMar>
              <w:top w:w="120" w:type="dxa"/>
              <w:bottom w:w="120" w:type="dxa"/>
              <w:left w:w="150" w:type="dxa"/>
              <w:right w:w="150" w:type="dxa"/>
            </w:tcMar>
          </w:tcPr>
          <w:p>
            <w:pPr>
              <w:spacing w:after="40" w:line="252" w:lineRule="auto"/>
            </w:pPr>
            <w:r>
              <w:rPr>
                <w:rFonts w:ascii="Calibri" w:hAnsi="Calibri"/>
                <w:sz w:val="19"/>
              </w:rPr>
              <w:t>İK + Yönetici</w:t>
            </w:r>
          </w:p>
        </w:tc>
      </w:tr>
      <w:tr>
        <w:tc>
          <w:tcPr>
            <w:tcW w:type="dxa" w:w="1512"/>
            <w:tcMar>
              <w:top w:w="120" w:type="dxa"/>
              <w:bottom w:w="120" w:type="dxa"/>
              <w:left w:w="150" w:type="dxa"/>
              <w:right w:w="150" w:type="dxa"/>
            </w:tcMar>
            <w:shd w:fill="F8FAFC"/>
          </w:tcPr>
          <w:p>
            <w:pPr>
              <w:spacing w:after="40" w:line="252" w:lineRule="auto"/>
            </w:pPr>
            <w:r>
              <w:rPr>
                <w:rFonts w:ascii="Calibri" w:hAnsi="Calibri"/>
                <w:b/>
                <w:sz w:val="19"/>
              </w:rPr>
              <w:t>9</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Çalışanın yazılı savunması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Savunma isteme yazısı eki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Fesih öncesi</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PIP dosyası</w:t>
            </w:r>
          </w:p>
        </w:tc>
        <w:tc>
          <w:tcPr>
            <w:tcW w:type="dxa" w:w="1512"/>
            <w:tcMar>
              <w:top w:w="120" w:type="dxa"/>
              <w:bottom w:w="120" w:type="dxa"/>
              <w:left w:w="150" w:type="dxa"/>
              <w:right w:w="150" w:type="dxa"/>
            </w:tcMar>
            <w:shd w:fill="F8FAFC"/>
          </w:tcPr>
          <w:p>
            <w:pPr>
              <w:spacing w:after="40" w:line="252" w:lineRule="auto"/>
            </w:pPr>
            <w:r>
              <w:rPr>
                <w:rFonts w:ascii="Calibri" w:hAnsi="Calibri"/>
                <w:sz w:val="19"/>
              </w:rPr>
              <w:t>İK</w:t>
            </w:r>
          </w:p>
        </w:tc>
      </w:tr>
      <w:tr>
        <w:tc>
          <w:tcPr>
            <w:tcW w:type="dxa" w:w="1512"/>
            <w:tcMar>
              <w:top w:w="120" w:type="dxa"/>
              <w:bottom w:w="120" w:type="dxa"/>
              <w:left w:w="150" w:type="dxa"/>
              <w:right w:w="150" w:type="dxa"/>
            </w:tcMar>
          </w:tcPr>
          <w:p>
            <w:pPr>
              <w:spacing w:after="40" w:line="252" w:lineRule="auto"/>
            </w:pPr>
            <w:r>
              <w:rPr>
                <w:rFonts w:ascii="Calibri" w:hAnsi="Calibri"/>
                <w:b/>
                <w:sz w:val="19"/>
              </w:rPr>
              <w:t>10</w:t>
            </w:r>
          </w:p>
        </w:tc>
        <w:tc>
          <w:tcPr>
            <w:tcW w:type="dxa" w:w="1512"/>
            <w:tcMar>
              <w:top w:w="120" w:type="dxa"/>
              <w:bottom w:w="120" w:type="dxa"/>
              <w:left w:w="150" w:type="dxa"/>
              <w:right w:w="150" w:type="dxa"/>
            </w:tcMar>
          </w:tcPr>
          <w:p>
            <w:pPr>
              <w:spacing w:after="40" w:line="252" w:lineRule="auto"/>
            </w:pPr>
            <w:r>
              <w:rPr>
                <w:rFonts w:ascii="Calibri" w:hAnsi="Calibri"/>
                <w:sz w:val="19"/>
              </w:rPr>
              <w:t>Tebliğ/tebellüğ belgesi (imzalı)</w:t>
            </w:r>
          </w:p>
        </w:tc>
        <w:tc>
          <w:tcPr>
            <w:tcW w:type="dxa" w:w="1512"/>
            <w:tcMar>
              <w:top w:w="120" w:type="dxa"/>
              <w:bottom w:w="120" w:type="dxa"/>
              <w:left w:w="150" w:type="dxa"/>
              <w:right w:w="150" w:type="dxa"/>
            </w:tcMar>
          </w:tcPr>
          <w:p>
            <w:pPr>
              <w:spacing w:after="40" w:line="252" w:lineRule="auto"/>
            </w:pPr>
            <w:r>
              <w:rPr>
                <w:rFonts w:ascii="Calibri" w:hAnsi="Calibri"/>
                <w:sz w:val="19"/>
              </w:rPr>
              <w:t>İmzalı tebliğ şerhi veya tebligat mazbatası</w:t>
            </w:r>
          </w:p>
        </w:tc>
        <w:tc>
          <w:tcPr>
            <w:tcW w:type="dxa" w:w="1512"/>
            <w:tcMar>
              <w:top w:w="120" w:type="dxa"/>
              <w:bottom w:w="120" w:type="dxa"/>
              <w:left w:w="150" w:type="dxa"/>
              <w:right w:w="150" w:type="dxa"/>
            </w:tcMar>
          </w:tcPr>
          <w:p>
            <w:pPr>
              <w:spacing w:after="40" w:line="252" w:lineRule="auto"/>
            </w:pPr>
            <w:r>
              <w:rPr>
                <w:rFonts w:ascii="Calibri" w:hAnsi="Calibri"/>
                <w:sz w:val="19"/>
              </w:rPr>
              <w:t>Her tebliğ</w:t>
            </w:r>
          </w:p>
        </w:tc>
        <w:tc>
          <w:tcPr>
            <w:tcW w:type="dxa" w:w="1512"/>
            <w:tcMar>
              <w:top w:w="120" w:type="dxa"/>
              <w:bottom w:w="120" w:type="dxa"/>
              <w:left w:w="150" w:type="dxa"/>
              <w:right w:w="150" w:type="dxa"/>
            </w:tcMar>
          </w:tcPr>
          <w:p>
            <w:pPr>
              <w:spacing w:after="40" w:line="252" w:lineRule="auto"/>
            </w:pPr>
            <w:r>
              <w:rPr>
                <w:rFonts w:ascii="Calibri" w:hAnsi="Calibri"/>
                <w:sz w:val="19"/>
              </w:rPr>
              <w:t>Özlük dosyası</w:t>
            </w:r>
          </w:p>
        </w:tc>
        <w:tc>
          <w:tcPr>
            <w:tcW w:type="dxa" w:w="1512"/>
            <w:tcMar>
              <w:top w:w="120" w:type="dxa"/>
              <w:bottom w:w="120" w:type="dxa"/>
              <w:left w:w="150" w:type="dxa"/>
              <w:right w:w="150" w:type="dxa"/>
            </w:tcMar>
          </w:tcPr>
          <w:p>
            <w:pPr>
              <w:spacing w:after="40" w:line="252" w:lineRule="auto"/>
            </w:pPr>
            <w:r>
              <w:rPr>
                <w:rFonts w:ascii="Calibri" w:hAnsi="Calibri"/>
                <w:sz w:val="19"/>
              </w:rPr>
              <w:t>İK</w:t>
            </w:r>
          </w:p>
        </w:tc>
      </w:tr>
    </w:tbl>
    <w:p>
      <w:pPr>
        <w:spacing w:after="120"/>
      </w:pPr>
    </w:p>
    <w:p>
      <w:pPr>
        <w:spacing w:before="200" w:after="80"/>
      </w:pPr>
      <w:r>
        <w:rPr>
          <w:rFonts w:ascii="Calibri" w:hAnsi="Calibri"/>
          <w:b/>
          <w:color w:val="1E3A8A"/>
          <w:sz w:val="28"/>
        </w:rPr>
        <w:t>7. YASAL ÇERÇEVE VE İÇTİHAT ÖZETİ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Konu</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PIP Sürecine Yansıması</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Geçerli fesih nedeni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4857 s. K. Md. 18/1-(d)</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İşçinin yetersizliğinden kaynaklanan nedenler, geçerli fesih sebebi sayılır</w:t>
            </w:r>
          </w:p>
        </w:tc>
      </w:tr>
      <w:tr>
        <w:tc>
          <w:tcPr>
            <w:tcW w:type="dxa" w:w="3024"/>
            <w:tcMar>
              <w:top w:w="120" w:type="dxa"/>
              <w:bottom w:w="120" w:type="dxa"/>
              <w:left w:w="150" w:type="dxa"/>
              <w:right w:w="150" w:type="dxa"/>
            </w:tcMar>
          </w:tcPr>
          <w:p>
            <w:pPr>
              <w:spacing w:after="40" w:line="252" w:lineRule="auto"/>
            </w:pPr>
            <w:r>
              <w:rPr>
                <w:rFonts w:ascii="Calibri" w:hAnsi="Calibri"/>
                <w:b/>
                <w:sz w:val="19"/>
              </w:rPr>
              <w:t>Fesih bildirimi şekli</w:t>
            </w:r>
          </w:p>
        </w:tc>
        <w:tc>
          <w:tcPr>
            <w:tcW w:type="dxa" w:w="3024"/>
            <w:tcMar>
              <w:top w:w="120" w:type="dxa"/>
              <w:bottom w:w="120" w:type="dxa"/>
              <w:left w:w="150" w:type="dxa"/>
              <w:right w:w="150" w:type="dxa"/>
            </w:tcMar>
          </w:tcPr>
          <w:p>
            <w:pPr>
              <w:spacing w:after="40" w:line="252" w:lineRule="auto"/>
            </w:pPr>
            <w:r>
              <w:rPr>
                <w:rFonts w:ascii="Calibri" w:hAnsi="Calibri"/>
                <w:sz w:val="19"/>
              </w:rPr>
              <w:t>4857 s. K. Md. 19/1</w:t>
            </w:r>
          </w:p>
        </w:tc>
        <w:tc>
          <w:tcPr>
            <w:tcW w:type="dxa" w:w="3024"/>
            <w:tcMar>
              <w:top w:w="120" w:type="dxa"/>
              <w:bottom w:w="120" w:type="dxa"/>
              <w:left w:w="150" w:type="dxa"/>
              <w:right w:w="150" w:type="dxa"/>
            </w:tcMar>
          </w:tcPr>
          <w:p>
            <w:pPr>
              <w:spacing w:after="40" w:line="252" w:lineRule="auto"/>
            </w:pPr>
            <w:r>
              <w:rPr>
                <w:rFonts w:ascii="Calibri" w:hAnsi="Calibri"/>
                <w:sz w:val="19"/>
              </w:rPr>
              <w:t>Bildirim yazılı olmalı ve fesih sebebi açık ve kesin şekilde belirtilmelidir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Savunma alma zorunluluğu</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4857 s. K. Md. 19/2</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İşçinin davranışına dayanan fesihte savunması yazılı olarak istenir</w:t>
            </w:r>
          </w:p>
        </w:tc>
      </w:tr>
      <w:tr>
        <w:tc>
          <w:tcPr>
            <w:tcW w:type="dxa" w:w="3024"/>
            <w:tcMar>
              <w:top w:w="120" w:type="dxa"/>
              <w:bottom w:w="120" w:type="dxa"/>
              <w:left w:w="150" w:type="dxa"/>
              <w:right w:w="150" w:type="dxa"/>
            </w:tcMar>
          </w:tcPr>
          <w:p>
            <w:pPr>
              <w:spacing w:after="40" w:line="252" w:lineRule="auto"/>
            </w:pPr>
            <w:r>
              <w:rPr>
                <w:rFonts w:ascii="Calibri" w:hAnsi="Calibri"/>
                <w:b/>
                <w:sz w:val="19"/>
              </w:rPr>
              <w:t>Eşit davranma borcu</w:t>
            </w:r>
          </w:p>
        </w:tc>
        <w:tc>
          <w:tcPr>
            <w:tcW w:type="dxa" w:w="3024"/>
            <w:tcMar>
              <w:top w:w="120" w:type="dxa"/>
              <w:bottom w:w="120" w:type="dxa"/>
              <w:left w:w="150" w:type="dxa"/>
              <w:right w:w="150" w:type="dxa"/>
            </w:tcMar>
          </w:tcPr>
          <w:p>
            <w:pPr>
              <w:spacing w:after="40" w:line="252" w:lineRule="auto"/>
            </w:pPr>
            <w:r>
              <w:rPr>
                <w:rFonts w:ascii="Calibri" w:hAnsi="Calibri"/>
                <w:sz w:val="19"/>
              </w:rPr>
              <w:t>4857 s. K. Md. 5</w:t>
            </w:r>
          </w:p>
        </w:tc>
        <w:tc>
          <w:tcPr>
            <w:tcW w:type="dxa" w:w="3024"/>
            <w:tcMar>
              <w:top w:w="120" w:type="dxa"/>
              <w:bottom w:w="120" w:type="dxa"/>
              <w:left w:w="150" w:type="dxa"/>
              <w:right w:w="150" w:type="dxa"/>
            </w:tcMar>
          </w:tcPr>
          <w:p>
            <w:pPr>
              <w:spacing w:after="40" w:line="252" w:lineRule="auto"/>
            </w:pPr>
            <w:r>
              <w:rPr>
                <w:rFonts w:ascii="Calibri" w:hAnsi="Calibri"/>
                <w:sz w:val="19"/>
              </w:rPr>
              <w:t>Aynı konumdaki çalışanlara benzer ölçüm kriterleri uygulanmalıdır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Çalışma koşullarında değişiklik</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4857 s. K. Md. 22</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Hedef/görev değişikliği gerekiyorsa işçinin yazılı onayı alınır</w:t>
            </w:r>
          </w:p>
        </w:tc>
      </w:tr>
      <w:tr>
        <w:tc>
          <w:tcPr>
            <w:tcW w:type="dxa" w:w="3024"/>
            <w:tcMar>
              <w:top w:w="120" w:type="dxa"/>
              <w:bottom w:w="120" w:type="dxa"/>
              <w:left w:w="150" w:type="dxa"/>
              <w:right w:w="150" w:type="dxa"/>
            </w:tcMar>
          </w:tcPr>
          <w:p>
            <w:pPr>
              <w:spacing w:after="40" w:line="252" w:lineRule="auto"/>
            </w:pPr>
            <w:r>
              <w:rPr>
                <w:rFonts w:ascii="Calibri" w:hAnsi="Calibri"/>
                <w:b/>
                <w:sz w:val="19"/>
              </w:rPr>
              <w:t>İhbar süresi</w:t>
            </w:r>
          </w:p>
        </w:tc>
        <w:tc>
          <w:tcPr>
            <w:tcW w:type="dxa" w:w="3024"/>
            <w:tcMar>
              <w:top w:w="120" w:type="dxa"/>
              <w:bottom w:w="120" w:type="dxa"/>
              <w:left w:w="150" w:type="dxa"/>
              <w:right w:w="150" w:type="dxa"/>
            </w:tcMar>
          </w:tcPr>
          <w:p>
            <w:pPr>
              <w:spacing w:after="40" w:line="252" w:lineRule="auto"/>
            </w:pPr>
            <w:r>
              <w:rPr>
                <w:rFonts w:ascii="Calibri" w:hAnsi="Calibri"/>
                <w:sz w:val="19"/>
              </w:rPr>
              <w:t>4857 s. K. Md. 17</w:t>
            </w:r>
          </w:p>
        </w:tc>
        <w:tc>
          <w:tcPr>
            <w:tcW w:type="dxa" w:w="3024"/>
            <w:tcMar>
              <w:top w:w="120" w:type="dxa"/>
              <w:bottom w:w="120" w:type="dxa"/>
              <w:left w:w="150" w:type="dxa"/>
              <w:right w:w="150" w:type="dxa"/>
            </w:tcMar>
          </w:tcPr>
          <w:p>
            <w:pPr>
              <w:spacing w:after="40" w:line="252" w:lineRule="auto"/>
            </w:pPr>
            <w:r>
              <w:rPr>
                <w:rFonts w:ascii="Calibri" w:hAnsi="Calibri"/>
                <w:sz w:val="19"/>
              </w:rPr>
              <w:t>Süre tutulmadıysa ihbar tazminatı ödenir; PIP süresi ihbar yerine geçmez</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İşe iade davası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4857 s. K. Md. 20, Md. 21</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Fesih geçersiz sayılırsa işe başlatmama tazminatı ile boşta geçen süre ücreti doğar</w:t>
            </w:r>
          </w:p>
        </w:tc>
      </w:tr>
      <w:tr>
        <w:tc>
          <w:tcPr>
            <w:tcW w:type="dxa" w:w="3024"/>
            <w:tcMar>
              <w:top w:w="120" w:type="dxa"/>
              <w:bottom w:w="120" w:type="dxa"/>
              <w:left w:w="150" w:type="dxa"/>
              <w:right w:w="150" w:type="dxa"/>
            </w:tcMar>
          </w:tcPr>
          <w:p>
            <w:pPr>
              <w:spacing w:after="40" w:line="252" w:lineRule="auto"/>
            </w:pPr>
            <w:r>
              <w:rPr>
                <w:rFonts w:ascii="Calibri" w:hAnsi="Calibri"/>
                <w:b/>
                <w:sz w:val="19"/>
              </w:rPr>
              <w:t>Arabuluculuk zorunluluğu</w:t>
            </w:r>
          </w:p>
        </w:tc>
        <w:tc>
          <w:tcPr>
            <w:tcW w:type="dxa" w:w="3024"/>
            <w:tcMar>
              <w:top w:w="120" w:type="dxa"/>
              <w:bottom w:w="120" w:type="dxa"/>
              <w:left w:w="150" w:type="dxa"/>
              <w:right w:w="150" w:type="dxa"/>
            </w:tcMar>
          </w:tcPr>
          <w:p>
            <w:pPr>
              <w:spacing w:after="40" w:line="252" w:lineRule="auto"/>
            </w:pPr>
            <w:r>
              <w:rPr>
                <w:rFonts w:ascii="Calibri" w:hAnsi="Calibri"/>
                <w:sz w:val="19"/>
              </w:rPr>
              <w:t>7036 s. K. Md. 3</w:t>
            </w:r>
          </w:p>
        </w:tc>
        <w:tc>
          <w:tcPr>
            <w:tcW w:type="dxa" w:w="3024"/>
            <w:tcMar>
              <w:top w:w="120" w:type="dxa"/>
              <w:bottom w:w="120" w:type="dxa"/>
              <w:left w:w="150" w:type="dxa"/>
              <w:right w:w="150" w:type="dxa"/>
            </w:tcMar>
          </w:tcPr>
          <w:p>
            <w:pPr>
              <w:spacing w:after="40" w:line="252" w:lineRule="auto"/>
            </w:pPr>
            <w:r>
              <w:rPr>
                <w:rFonts w:ascii="Calibri" w:hAnsi="Calibri"/>
                <w:sz w:val="19"/>
              </w:rPr>
              <w:t>İşe iade ve alacak davalarında dava şartı olarak arabuluculuğa başvurulur</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Sır saklama / sadakat</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TBK Md. 396</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Performans ve sağlık verileri üçüncü kişilerle paylaşılmaz; yükümlülük fesihten sonra da sürer</w:t>
            </w:r>
          </w:p>
        </w:tc>
      </w:tr>
      <w:tr>
        <w:tc>
          <w:tcPr>
            <w:tcW w:type="dxa" w:w="3024"/>
            <w:tcMar>
              <w:top w:w="120" w:type="dxa"/>
              <w:bottom w:w="120" w:type="dxa"/>
              <w:left w:w="150" w:type="dxa"/>
              <w:right w:w="150" w:type="dxa"/>
            </w:tcMar>
          </w:tcPr>
          <w:p>
            <w:pPr>
              <w:spacing w:after="40" w:line="252" w:lineRule="auto"/>
            </w:pPr>
            <w:r>
              <w:rPr>
                <w:rFonts w:ascii="Calibri" w:hAnsi="Calibri"/>
                <w:b/>
                <w:sz w:val="19"/>
              </w:rPr>
              <w:t>Zamanaşımı</w:t>
            </w:r>
          </w:p>
        </w:tc>
        <w:tc>
          <w:tcPr>
            <w:tcW w:type="dxa" w:w="3024"/>
            <w:tcMar>
              <w:top w:w="120" w:type="dxa"/>
              <w:bottom w:w="120" w:type="dxa"/>
              <w:left w:w="150" w:type="dxa"/>
              <w:right w:w="150" w:type="dxa"/>
            </w:tcMar>
          </w:tcPr>
          <w:p>
            <w:pPr>
              <w:spacing w:after="40" w:line="252" w:lineRule="auto"/>
            </w:pPr>
            <w:r>
              <w:rPr>
                <w:rFonts w:ascii="Calibri" w:hAnsi="Calibri"/>
                <w:sz w:val="19"/>
              </w:rPr>
              <w:t>TBK Md. 146, Md. 147</w:t>
            </w:r>
          </w:p>
        </w:tc>
        <w:tc>
          <w:tcPr>
            <w:tcW w:type="dxa" w:w="3024"/>
            <w:tcMar>
              <w:top w:w="120" w:type="dxa"/>
              <w:bottom w:w="120" w:type="dxa"/>
              <w:left w:w="150" w:type="dxa"/>
              <w:right w:w="150" w:type="dxa"/>
            </w:tcMar>
          </w:tcPr>
          <w:p>
            <w:pPr>
              <w:spacing w:after="40" w:line="252" w:lineRule="auto"/>
            </w:pPr>
            <w:r>
              <w:rPr>
                <w:rFonts w:ascii="Calibri" w:hAnsi="Calibri"/>
                <w:sz w:val="19"/>
              </w:rPr>
              <w:t>Kıdem tazminatında 10 yıl, ücret gibi dönemsel alacaklarda 5 yıl</w:t>
            </w:r>
          </w:p>
        </w:tc>
      </w:tr>
      <w:tr>
        <w:tc>
          <w:tcPr>
            <w:tcW w:type="dxa" w:w="3024"/>
            <w:tcMar>
              <w:top w:w="120" w:type="dxa"/>
              <w:bottom w:w="120" w:type="dxa"/>
              <w:left w:w="150" w:type="dxa"/>
              <w:right w:w="150" w:type="dxa"/>
            </w:tcMar>
            <w:shd w:fill="F8FAFC"/>
          </w:tcPr>
          <w:p>
            <w:pPr>
              <w:spacing w:after="40" w:line="252" w:lineRule="auto"/>
            </w:pPr>
            <w:r>
              <w:rPr>
                <w:rFonts w:ascii="Calibri" w:hAnsi="Calibri"/>
                <w:b/>
                <w:sz w:val="19"/>
              </w:rPr>
              <w:t>Veri işleme</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6698 s. KVKK Md. 4, Md. 5</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Performans verisi işlenirken hukuka uygunluk sebebi ve ölçülülük ilkesi gözetilir</w:t>
            </w:r>
          </w:p>
        </w:tc>
      </w:tr>
    </w:tbl>
    <w:p>
      <w:pPr>
        <w:spacing w:after="120"/>
      </w:pPr>
    </w:p>
    <w:p>
      <w:pPr>
        <w:spacing w:before="80" w:after="120"/>
        <w:ind w:left="576"/>
      </w:pPr>
      <w:r>
        <w:rPr>
          <w:rFonts w:ascii="Calibri" w:hAnsi="Calibri"/>
          <w:i/>
          <w:color w:val="64748B"/>
          <w:sz w:val="21"/>
        </w:rPr>
        <w:t>Yargıtay ölçütleri (yerleşik uygulama): İşveren; (i) somut ve ölçülebilir hedefleri yazılı bildirmeli, (ii) yeterli bir süre tanımalı, (iii) eğitim/koçluk desteği sağlamalı, (iv) iyileşme için makul bir fırsat sunmalı ve (v) tüm bu aşamaları belgeleyebilmelidir. Bu unsurlardan biri eksikse fesih geçerli neden taşımaz.</w:t>
      </w:r>
    </w:p>
    <w:p>
      <w:pPr>
        <w:spacing w:before="200" w:after="80"/>
      </w:pPr>
      <w:r>
        <w:rPr>
          <w:rFonts w:ascii="Calibri" w:hAnsi="Calibri"/>
          <w:b/>
          <w:color w:val="1E3A8A"/>
          <w:sz w:val="28"/>
        </w:rPr>
        <w:t>8. 60 GÜNLÜK DETAYLI UYGULAMA TAKVİMİ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814"/>
        <w:gridCol w:w="1814"/>
        <w:gridCol w:w="1814"/>
        <w:gridCol w:w="1814"/>
        <w:gridCol w:w="1814"/>
      </w:tblGrid>
      <w:tr>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Hafta</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Tarih Aralığı</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Yapılacak Faaliyet</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Sorumlu</w:t>
            </w:r>
          </w:p>
        </w:tc>
        <w:tc>
          <w:tcPr>
            <w:tcW w:type="dxa" w:w="1814"/>
            <w:tcMar>
              <w:top w:w="120" w:type="dxa"/>
              <w:bottom w:w="120" w:type="dxa"/>
              <w:left w:w="150" w:type="dxa"/>
              <w:right w:w="150" w:type="dxa"/>
            </w:tcMar>
            <w:shd w:fill="F1F5F9"/>
          </w:tcPr>
          <w:p>
            <w:pPr>
              <w:spacing w:after="40" w:line="252" w:lineRule="auto"/>
            </w:pPr>
            <w:r>
              <w:rPr>
                <w:rFonts w:ascii="Calibri" w:hAnsi="Calibri"/>
                <w:b/>
                <w:color w:val="0F172A"/>
                <w:sz w:val="20"/>
              </w:rPr>
              <w:t>Çıktı</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01.02 - 07.02</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PIP metninin çalışana yazılı tebliği, imzalı nüshanın dosyalanması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İmzalı PIP + tebliğ şerhi</w:t>
            </w:r>
          </w:p>
        </w:tc>
      </w:tr>
      <w:tr>
        <w:tc>
          <w:tcPr>
            <w:tcW w:type="dxa" w:w="1814"/>
            <w:tcMar>
              <w:top w:w="120" w:type="dxa"/>
              <w:bottom w:w="120" w:type="dxa"/>
              <w:left w:w="150" w:type="dxa"/>
              <w:right w:w="150" w:type="dxa"/>
            </w:tcMar>
          </w:tcPr>
          <w:p>
            <w:pPr>
              <w:spacing w:after="40" w:line="252" w:lineRule="auto"/>
            </w:pPr>
            <w:r>
              <w:rPr>
                <w:rFonts w:ascii="Calibri" w:hAnsi="Calibri"/>
                <w:b/>
                <w:sz w:val="19"/>
              </w:rPr>
              <w:t>2</w:t>
            </w:r>
          </w:p>
        </w:tc>
        <w:tc>
          <w:tcPr>
            <w:tcW w:type="dxa" w:w="1814"/>
            <w:tcMar>
              <w:top w:w="120" w:type="dxa"/>
              <w:bottom w:w="120" w:type="dxa"/>
              <w:left w:w="150" w:type="dxa"/>
              <w:right w:w="150" w:type="dxa"/>
            </w:tcMar>
          </w:tcPr>
          <w:p>
            <w:pPr>
              <w:spacing w:after="40" w:line="252" w:lineRule="auto"/>
            </w:pPr>
            <w:r>
              <w:rPr>
                <w:rFonts w:ascii="Calibri" w:hAnsi="Calibri"/>
                <w:sz w:val="19"/>
              </w:rPr>
              <w:t>08.02 - 14.02</w:t>
            </w:r>
          </w:p>
        </w:tc>
        <w:tc>
          <w:tcPr>
            <w:tcW w:type="dxa" w:w="1814"/>
            <w:tcMar>
              <w:top w:w="120" w:type="dxa"/>
              <w:bottom w:w="120" w:type="dxa"/>
              <w:left w:w="150" w:type="dxa"/>
              <w:right w:w="150" w:type="dxa"/>
            </w:tcMar>
          </w:tcPr>
          <w:p>
            <w:pPr>
              <w:spacing w:after="40" w:line="252" w:lineRule="auto"/>
            </w:pPr>
            <w:r>
              <w:rPr>
                <w:rFonts w:ascii="Calibri" w:hAnsi="Calibri"/>
                <w:sz w:val="19"/>
              </w:rPr>
              <w:t>İletişim eğitimi ataması, ilk birebir koçluk görüşmesi</w:t>
            </w:r>
          </w:p>
        </w:tc>
        <w:tc>
          <w:tcPr>
            <w:tcW w:type="dxa" w:w="1814"/>
            <w:tcMar>
              <w:top w:w="120" w:type="dxa"/>
              <w:bottom w:w="120" w:type="dxa"/>
              <w:left w:w="150" w:type="dxa"/>
              <w:right w:w="150" w:type="dxa"/>
            </w:tcMar>
          </w:tcPr>
          <w:p>
            <w:pPr>
              <w:spacing w:after="40" w:line="252" w:lineRule="auto"/>
            </w:pPr>
            <w:r>
              <w:rPr>
                <w:rFonts w:ascii="Calibri" w:hAnsi="Calibri"/>
                <w:sz w:val="19"/>
              </w:rPr>
              <w:t>İK + Mentor</w:t>
            </w:r>
          </w:p>
        </w:tc>
        <w:tc>
          <w:tcPr>
            <w:tcW w:type="dxa" w:w="1814"/>
            <w:tcMar>
              <w:top w:w="120" w:type="dxa"/>
              <w:bottom w:w="120" w:type="dxa"/>
              <w:left w:w="150" w:type="dxa"/>
              <w:right w:w="150" w:type="dxa"/>
            </w:tcMar>
          </w:tcPr>
          <w:p>
            <w:pPr>
              <w:spacing w:after="40" w:line="252" w:lineRule="auto"/>
            </w:pPr>
            <w:r>
              <w:rPr>
                <w:rFonts w:ascii="Calibri" w:hAnsi="Calibri"/>
                <w:sz w:val="19"/>
              </w:rPr>
              <w:t>Eğitim kaydı, koçluk notu</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15.02 - 21.02</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15. gün ara değerlendirme toplantısı ve ölçüm raporu</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Yönetici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Toplantı tutanağı</w:t>
            </w:r>
          </w:p>
        </w:tc>
      </w:tr>
      <w:tr>
        <w:tc>
          <w:tcPr>
            <w:tcW w:type="dxa" w:w="1814"/>
            <w:tcMar>
              <w:top w:w="120" w:type="dxa"/>
              <w:bottom w:w="120" w:type="dxa"/>
              <w:left w:w="150" w:type="dxa"/>
              <w:right w:w="150" w:type="dxa"/>
            </w:tcMar>
          </w:tcPr>
          <w:p>
            <w:pPr>
              <w:spacing w:after="40" w:line="252" w:lineRule="auto"/>
            </w:pPr>
            <w:r>
              <w:rPr>
                <w:rFonts w:ascii="Calibri" w:hAnsi="Calibri"/>
                <w:b/>
                <w:sz w:val="19"/>
              </w:rPr>
              <w:t>4</w:t>
            </w:r>
          </w:p>
        </w:tc>
        <w:tc>
          <w:tcPr>
            <w:tcW w:type="dxa" w:w="1814"/>
            <w:tcMar>
              <w:top w:w="120" w:type="dxa"/>
              <w:bottom w:w="120" w:type="dxa"/>
              <w:left w:w="150" w:type="dxa"/>
              <w:right w:w="150" w:type="dxa"/>
            </w:tcMar>
          </w:tcPr>
          <w:p>
            <w:pPr>
              <w:spacing w:after="40" w:line="252" w:lineRule="auto"/>
            </w:pPr>
            <w:r>
              <w:rPr>
                <w:rFonts w:ascii="Calibri" w:hAnsi="Calibri"/>
                <w:sz w:val="19"/>
              </w:rPr>
              <w:t>22.02 - 28.02</w:t>
            </w:r>
          </w:p>
        </w:tc>
        <w:tc>
          <w:tcPr>
            <w:tcW w:type="dxa" w:w="1814"/>
            <w:tcMar>
              <w:top w:w="120" w:type="dxa"/>
              <w:bottom w:w="120" w:type="dxa"/>
              <w:left w:w="150" w:type="dxa"/>
              <w:right w:w="150" w:type="dxa"/>
            </w:tcMar>
          </w:tcPr>
          <w:p>
            <w:pPr>
              <w:spacing w:after="40" w:line="252" w:lineRule="auto"/>
            </w:pPr>
            <w:r>
              <w:rPr>
                <w:rFonts w:ascii="Calibri" w:hAnsi="Calibri"/>
                <w:sz w:val="19"/>
              </w:rPr>
              <w:t>Çağrı kalitesi dinleme geri bildirimleri ve örnek vaka çalışması</w:t>
            </w:r>
          </w:p>
        </w:tc>
        <w:tc>
          <w:tcPr>
            <w:tcW w:type="dxa" w:w="1814"/>
            <w:tcMar>
              <w:top w:w="120" w:type="dxa"/>
              <w:bottom w:w="120" w:type="dxa"/>
              <w:left w:w="150" w:type="dxa"/>
              <w:right w:w="150" w:type="dxa"/>
            </w:tcMar>
          </w:tcPr>
          <w:p>
            <w:pPr>
              <w:spacing w:after="40" w:line="252" w:lineRule="auto"/>
            </w:pPr>
            <w:r>
              <w:rPr>
                <w:rFonts w:ascii="Calibri" w:hAnsi="Calibri"/>
                <w:sz w:val="19"/>
              </w:rPr>
              <w:t>Kalite Uzmanı</w:t>
            </w:r>
          </w:p>
        </w:tc>
        <w:tc>
          <w:tcPr>
            <w:tcW w:type="dxa" w:w="1814"/>
            <w:tcMar>
              <w:top w:w="120" w:type="dxa"/>
              <w:bottom w:w="120" w:type="dxa"/>
              <w:left w:w="150" w:type="dxa"/>
              <w:right w:w="150" w:type="dxa"/>
            </w:tcMar>
          </w:tcPr>
          <w:p>
            <w:pPr>
              <w:spacing w:after="40" w:line="252" w:lineRule="auto"/>
            </w:pPr>
            <w:r>
              <w:rPr>
                <w:rFonts w:ascii="Calibri" w:hAnsi="Calibri"/>
                <w:sz w:val="19"/>
              </w:rPr>
              <w:t>QA geri bildirim formu</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5</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01.03 - 07.03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30. gün ara değerlendirme; hedef gerçekleşme oranı hesabı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 Yönetici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Ara değerlendirme formu</w:t>
            </w:r>
          </w:p>
        </w:tc>
      </w:tr>
      <w:tr>
        <w:tc>
          <w:tcPr>
            <w:tcW w:type="dxa" w:w="1814"/>
            <w:tcMar>
              <w:top w:w="120" w:type="dxa"/>
              <w:bottom w:w="120" w:type="dxa"/>
              <w:left w:w="150" w:type="dxa"/>
              <w:right w:w="150" w:type="dxa"/>
            </w:tcMar>
          </w:tcPr>
          <w:p>
            <w:pPr>
              <w:spacing w:after="40" w:line="252" w:lineRule="auto"/>
            </w:pPr>
            <w:r>
              <w:rPr>
                <w:rFonts w:ascii="Calibri" w:hAnsi="Calibri"/>
                <w:b/>
                <w:sz w:val="19"/>
              </w:rPr>
              <w:t>6</w:t>
            </w:r>
          </w:p>
        </w:tc>
        <w:tc>
          <w:tcPr>
            <w:tcW w:type="dxa" w:w="1814"/>
            <w:tcMar>
              <w:top w:w="120" w:type="dxa"/>
              <w:bottom w:w="120" w:type="dxa"/>
              <w:left w:w="150" w:type="dxa"/>
              <w:right w:w="150" w:type="dxa"/>
            </w:tcMar>
          </w:tcPr>
          <w:p>
            <w:pPr>
              <w:spacing w:after="40" w:line="252" w:lineRule="auto"/>
            </w:pPr>
            <w:r>
              <w:rPr>
                <w:rFonts w:ascii="Calibri" w:hAnsi="Calibri"/>
                <w:sz w:val="19"/>
              </w:rPr>
              <w:t>08.03 - 14.03</w:t>
            </w:r>
          </w:p>
        </w:tc>
        <w:tc>
          <w:tcPr>
            <w:tcW w:type="dxa" w:w="1814"/>
            <w:tcMar>
              <w:top w:w="120" w:type="dxa"/>
              <w:bottom w:w="120" w:type="dxa"/>
              <w:left w:w="150" w:type="dxa"/>
              <w:right w:w="150" w:type="dxa"/>
            </w:tcMar>
          </w:tcPr>
          <w:p>
            <w:pPr>
              <w:spacing w:after="40" w:line="252" w:lineRule="auto"/>
            </w:pPr>
            <w:r>
              <w:rPr>
                <w:rFonts w:ascii="Calibri" w:hAnsi="Calibri"/>
                <w:sz w:val="19"/>
              </w:rPr>
              <w:t>Hedefe ulaşılamayan metrikler için ek eğitim ve hedef revizyonu</w:t>
            </w:r>
          </w:p>
        </w:tc>
        <w:tc>
          <w:tcPr>
            <w:tcW w:type="dxa" w:w="1814"/>
            <w:tcMar>
              <w:top w:w="120" w:type="dxa"/>
              <w:bottom w:w="120" w:type="dxa"/>
              <w:left w:w="150" w:type="dxa"/>
              <w:right w:w="150" w:type="dxa"/>
            </w:tcMar>
          </w:tcPr>
          <w:p>
            <w:pPr>
              <w:spacing w:after="40" w:line="252" w:lineRule="auto"/>
            </w:pPr>
            <w:r>
              <w:rPr>
                <w:rFonts w:ascii="Calibri" w:hAnsi="Calibri"/>
                <w:sz w:val="19"/>
              </w:rPr>
              <w:t>İK + Mentor</w:t>
            </w:r>
          </w:p>
        </w:tc>
        <w:tc>
          <w:tcPr>
            <w:tcW w:type="dxa" w:w="1814"/>
            <w:tcMar>
              <w:top w:w="120" w:type="dxa"/>
              <w:bottom w:w="120" w:type="dxa"/>
              <w:left w:w="150" w:type="dxa"/>
              <w:right w:w="150" w:type="dxa"/>
            </w:tcMar>
          </w:tcPr>
          <w:p>
            <w:pPr>
              <w:spacing w:after="40" w:line="252" w:lineRule="auto"/>
            </w:pPr>
            <w:r>
              <w:rPr>
                <w:rFonts w:ascii="Calibri" w:hAnsi="Calibri"/>
                <w:sz w:val="19"/>
              </w:rPr>
              <w:t>Revize hedef listesi</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7</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15.03 - 21.03</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45. gün ara değerlendirme; AHT ve CRM veri denetimi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Yönetici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Veri denetim raporu</w:t>
            </w:r>
          </w:p>
        </w:tc>
      </w:tr>
      <w:tr>
        <w:tc>
          <w:tcPr>
            <w:tcW w:type="dxa" w:w="1814"/>
            <w:tcMar>
              <w:top w:w="120" w:type="dxa"/>
              <w:bottom w:w="120" w:type="dxa"/>
              <w:left w:w="150" w:type="dxa"/>
              <w:right w:w="150" w:type="dxa"/>
            </w:tcMar>
          </w:tcPr>
          <w:p>
            <w:pPr>
              <w:spacing w:after="40" w:line="252" w:lineRule="auto"/>
            </w:pPr>
            <w:r>
              <w:rPr>
                <w:rFonts w:ascii="Calibri" w:hAnsi="Calibri"/>
                <w:b/>
                <w:sz w:val="19"/>
              </w:rPr>
              <w:t>8</w:t>
            </w:r>
          </w:p>
        </w:tc>
        <w:tc>
          <w:tcPr>
            <w:tcW w:type="dxa" w:w="1814"/>
            <w:tcMar>
              <w:top w:w="120" w:type="dxa"/>
              <w:bottom w:w="120" w:type="dxa"/>
              <w:left w:w="150" w:type="dxa"/>
              <w:right w:w="150" w:type="dxa"/>
            </w:tcMar>
          </w:tcPr>
          <w:p>
            <w:pPr>
              <w:spacing w:after="40" w:line="252" w:lineRule="auto"/>
            </w:pPr>
            <w:r>
              <w:rPr>
                <w:rFonts w:ascii="Calibri" w:hAnsi="Calibri"/>
                <w:sz w:val="19"/>
              </w:rPr>
              <w:t>22.03 - 28.03</w:t>
            </w:r>
          </w:p>
        </w:tc>
        <w:tc>
          <w:tcPr>
            <w:tcW w:type="dxa" w:w="1814"/>
            <w:tcMar>
              <w:top w:w="120" w:type="dxa"/>
              <w:bottom w:w="120" w:type="dxa"/>
              <w:left w:w="150" w:type="dxa"/>
              <w:right w:w="150" w:type="dxa"/>
            </w:tcMar>
          </w:tcPr>
          <w:p>
            <w:pPr>
              <w:spacing w:after="40" w:line="252" w:lineRule="auto"/>
            </w:pPr>
            <w:r>
              <w:rPr>
                <w:rFonts w:ascii="Calibri" w:hAnsi="Calibri"/>
                <w:sz w:val="19"/>
              </w:rPr>
              <w:t>Nihai ölçüm dönemi, verilerin konsolide edilmesi</w:t>
            </w:r>
          </w:p>
        </w:tc>
        <w:tc>
          <w:tcPr>
            <w:tcW w:type="dxa" w:w="1814"/>
            <w:tcMar>
              <w:top w:w="120" w:type="dxa"/>
              <w:bottom w:w="120" w:type="dxa"/>
              <w:left w:w="150" w:type="dxa"/>
              <w:right w:w="150" w:type="dxa"/>
            </w:tcMar>
          </w:tcPr>
          <w:p>
            <w:pPr>
              <w:spacing w:after="40" w:line="252" w:lineRule="auto"/>
            </w:pPr>
            <w:r>
              <w:rPr>
                <w:rFonts w:ascii="Calibri" w:hAnsi="Calibri"/>
                <w:sz w:val="19"/>
              </w:rPr>
              <w:t>İK</w:t>
            </w:r>
          </w:p>
        </w:tc>
        <w:tc>
          <w:tcPr>
            <w:tcW w:type="dxa" w:w="1814"/>
            <w:tcMar>
              <w:top w:w="120" w:type="dxa"/>
              <w:bottom w:w="120" w:type="dxa"/>
              <w:left w:w="150" w:type="dxa"/>
              <w:right w:w="150" w:type="dxa"/>
            </w:tcMar>
          </w:tcPr>
          <w:p>
            <w:pPr>
              <w:spacing w:after="40" w:line="252" w:lineRule="auto"/>
            </w:pPr>
            <w:r>
              <w:rPr>
                <w:rFonts w:ascii="Calibri" w:hAnsi="Calibri"/>
                <w:sz w:val="19"/>
              </w:rPr>
              <w:t>Konsolide performans raporu</w:t>
            </w:r>
          </w:p>
        </w:tc>
      </w:tr>
      <w:tr>
        <w:tc>
          <w:tcPr>
            <w:tcW w:type="dxa" w:w="1814"/>
            <w:tcMar>
              <w:top w:w="120" w:type="dxa"/>
              <w:bottom w:w="120" w:type="dxa"/>
              <w:left w:w="150" w:type="dxa"/>
              <w:right w:w="150" w:type="dxa"/>
            </w:tcMar>
            <w:shd w:fill="F8FAFC"/>
          </w:tcPr>
          <w:p>
            <w:pPr>
              <w:spacing w:after="40" w:line="252" w:lineRule="auto"/>
            </w:pPr>
            <w:r>
              <w:rPr>
                <w:rFonts w:ascii="Calibri" w:hAnsi="Calibri"/>
                <w:b/>
                <w:sz w:val="19"/>
              </w:rPr>
              <w:t>9</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29.03 - 01.04</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Nihai değerlendirme toplantısı ve sonuç formunun imzalanması</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İK + Yönetici</w:t>
            </w:r>
          </w:p>
        </w:tc>
        <w:tc>
          <w:tcPr>
            <w:tcW w:type="dxa" w:w="1814"/>
            <w:tcMar>
              <w:top w:w="120" w:type="dxa"/>
              <w:bottom w:w="120" w:type="dxa"/>
              <w:left w:w="150" w:type="dxa"/>
              <w:right w:w="150" w:type="dxa"/>
            </w:tcMar>
            <w:shd w:fill="F8FAFC"/>
          </w:tcPr>
          <w:p>
            <w:pPr>
              <w:spacing w:after="40" w:line="252" w:lineRule="auto"/>
            </w:pPr>
            <w:r>
              <w:rPr>
                <w:rFonts w:ascii="Calibri" w:hAnsi="Calibri"/>
                <w:sz w:val="19"/>
              </w:rPr>
              <w:t>Sonuç ve karar formu</w:t>
            </w:r>
          </w:p>
        </w:tc>
      </w:tr>
    </w:tbl>
    <w:p>
      <w:pPr>
        <w:spacing w:after="120"/>
      </w:pPr>
    </w:p>
    <w:p>
      <w:pPr>
        <w:spacing w:before="200" w:after="80"/>
      </w:pPr>
      <w:r>
        <w:rPr>
          <w:rFonts w:ascii="Calibri" w:hAnsi="Calibri"/>
          <w:b/>
          <w:color w:val="1E3A8A"/>
          <w:sz w:val="28"/>
        </w:rPr>
        <w:t>9. SAVUNMA ALMA PROSEDÜRÜ VE ÖRNEK SAVUNMA İSTEME YAZISI</w:t>
      </w:r>
    </w:p>
    <w:p>
      <w:pPr>
        <w:spacing w:after="80" w:line="276" w:lineRule="auto"/>
      </w:pPr>
      <w:r>
        <w:rPr>
          <w:rFonts w:ascii="Calibri" w:hAnsi="Calibri"/>
          <w:b/>
        </w:rPr>
        <w:t>Prosedür Adımları</w:t>
      </w:r>
    </w:p>
    <w:p>
      <w:pPr>
        <w:pStyle w:val="ListNumber"/>
        <w:spacing w:after="40" w:line="276" w:lineRule="auto"/>
      </w:pPr>
      <w:r>
        <w:rPr>
          <w:rFonts w:ascii="Calibri" w:hAnsi="Calibri"/>
        </w:rPr>
        <w:t>Performans açığının devam ettiği nihai raporla tespit edilir (4857 s. K. Md. 18/1-(d)).</w:t>
      </w:r>
    </w:p>
    <w:p>
      <w:pPr>
        <w:pStyle w:val="ListNumber"/>
        <w:spacing w:after="40" w:line="276" w:lineRule="auto"/>
      </w:pPr>
      <w:r>
        <w:rPr>
          <w:rFonts w:ascii="Calibri" w:hAnsi="Calibri"/>
        </w:rPr>
        <w:t>Çalışandan yazılı savunma istenir; savunma için makul süre (en az 3 iş günü) tanınır (4857 s. K. Md. 19/2).</w:t>
      </w:r>
    </w:p>
    <w:p>
      <w:pPr>
        <w:pStyle w:val="ListNumber"/>
        <w:spacing w:after="40" w:line="276" w:lineRule="auto"/>
      </w:pPr>
      <w:r>
        <w:rPr>
          <w:rFonts w:ascii="Calibri" w:hAnsi="Calibri"/>
        </w:rPr>
        <w:t>Savunma isteme yazısı elden imza karşılığı veya iadeli taahhütlü posta ile tebliğ edilir; tebliğ tarihi belgelenir.</w:t>
      </w:r>
    </w:p>
    <w:p>
      <w:pPr>
        <w:pStyle w:val="ListNumber"/>
        <w:spacing w:after="40" w:line="276" w:lineRule="auto"/>
      </w:pPr>
      <w:r>
        <w:rPr>
          <w:rFonts w:ascii="Calibri" w:hAnsi="Calibri"/>
        </w:rPr>
        <w:t>Çalışanın savunması yazılı olarak alınır ve dosyaya eklenir.</w:t>
      </w:r>
    </w:p>
    <w:p>
      <w:pPr>
        <w:pStyle w:val="ListNumber"/>
        <w:spacing w:after="40" w:line="276" w:lineRule="auto"/>
      </w:pPr>
      <w:r>
        <w:rPr>
          <w:rFonts w:ascii="Calibri" w:hAnsi="Calibri"/>
        </w:rPr>
        <w:t>Savunmada yeni bir mazeret veya destek talebi varsa değerlendirilir; sunulan kanıtlar (rapor, sağlık belgesi, iş yükü verisi) incelenir.</w:t>
      </w:r>
    </w:p>
    <w:p>
      <w:pPr>
        <w:pStyle w:val="ListNumber"/>
        <w:spacing w:after="40" w:line="276" w:lineRule="auto"/>
      </w:pPr>
      <w:r>
        <w:rPr>
          <w:rFonts w:ascii="Calibri" w:hAnsi="Calibri"/>
        </w:rPr>
        <w:t>Değerlendirme sonucu fesih yönünde ise gerekçe, savunmaya verilen cevapla birlikte yazılı bildirime işlenir.</w:t>
      </w:r>
    </w:p>
    <w:p>
      <w:pPr>
        <w:pStyle w:val="ListNumber"/>
        <w:spacing w:after="40" w:line="276" w:lineRule="auto"/>
      </w:pPr>
      <w:r>
        <w:rPr>
          <w:rFonts w:ascii="Calibri" w:hAnsi="Calibri"/>
        </w:rPr>
        <w:t>Fesihten vazgeçilirse veya hedef revize edilirse karar yazılı olarak çalışana tebliğ edilir.</w:t>
      </w:r>
    </w:p>
    <w:p>
      <w:pPr>
        <w:spacing w:after="80" w:line="276" w:lineRule="auto"/>
      </w:pPr>
      <w:r>
        <w:rPr>
          <w:rFonts w:ascii="Calibri" w:hAnsi="Calibri"/>
          <w:b/>
        </w:rPr>
        <w:t>Örnek Savunma İsteme Yazısı (Şablon)</w:t>
      </w:r>
    </w:p>
    <w:p>
      <w:pPr>
        <w:spacing w:before="200" w:after="80"/>
      </w:pPr>
      <w:r>
        <w:rPr>
          <w:rFonts w:ascii="Calibri" w:hAnsi="Calibri"/>
          <w:b/>
          <w:color w:val="1E3A8A"/>
          <w:sz w:val="28"/>
        </w:rPr>
        <w:t>10. NİHAİ SKOR HESAPLAMA VE KARAR TABLOSU</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1296"/>
        <w:gridCol w:w="1296"/>
        <w:gridCol w:w="1296"/>
        <w:gridCol w:w="1296"/>
        <w:gridCol w:w="1296"/>
        <w:gridCol w:w="1296"/>
        <w:gridCol w:w="1296"/>
      </w:tblGrid>
      <w:tr>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Hedef No</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Ölçüm Metriği</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Ağırlık (%)</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Hedef</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Gerçekleşen</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Gerçekleşme Oranı</w:t>
            </w:r>
          </w:p>
        </w:tc>
        <w:tc>
          <w:tcPr>
            <w:tcW w:type="dxa" w:w="1296"/>
            <w:tcMar>
              <w:top w:w="120" w:type="dxa"/>
              <w:bottom w:w="120" w:type="dxa"/>
              <w:left w:w="150" w:type="dxa"/>
              <w:right w:w="150" w:type="dxa"/>
            </w:tcMar>
            <w:shd w:fill="F1F5F9"/>
          </w:tcPr>
          <w:p>
            <w:pPr>
              <w:spacing w:after="40" w:line="252" w:lineRule="auto"/>
            </w:pPr>
            <w:r>
              <w:rPr>
                <w:rFonts w:ascii="Calibri" w:hAnsi="Calibri"/>
                <w:b/>
                <w:color w:val="0F172A"/>
                <w:sz w:val="20"/>
              </w:rPr>
              <w:t>Ağırlıklı Skor</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1</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Günlük ortalama çağrı adedi</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35</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50</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46</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%92</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32,2</w:t>
            </w:r>
          </w:p>
        </w:tc>
      </w:tr>
      <w:tr>
        <w:tc>
          <w:tcPr>
            <w:tcW w:type="dxa" w:w="1296"/>
            <w:tcMar>
              <w:top w:w="120" w:type="dxa"/>
              <w:bottom w:w="120" w:type="dxa"/>
              <w:left w:w="150" w:type="dxa"/>
              <w:right w:w="150" w:type="dxa"/>
            </w:tcMar>
          </w:tcPr>
          <w:p>
            <w:pPr>
              <w:spacing w:after="40" w:line="252" w:lineRule="auto"/>
            </w:pPr>
            <w:r>
              <w:rPr>
                <w:rFonts w:ascii="Calibri" w:hAnsi="Calibri"/>
                <w:b/>
                <w:sz w:val="19"/>
              </w:rPr>
              <w:t>2</w:t>
            </w:r>
          </w:p>
        </w:tc>
        <w:tc>
          <w:tcPr>
            <w:tcW w:type="dxa" w:w="1296"/>
            <w:tcMar>
              <w:top w:w="120" w:type="dxa"/>
              <w:bottom w:w="120" w:type="dxa"/>
              <w:left w:w="150" w:type="dxa"/>
              <w:right w:w="150" w:type="dxa"/>
            </w:tcMar>
          </w:tcPr>
          <w:p>
            <w:pPr>
              <w:spacing w:after="40" w:line="252" w:lineRule="auto"/>
            </w:pPr>
            <w:r>
              <w:rPr>
                <w:rFonts w:ascii="Calibri" w:hAnsi="Calibri"/>
                <w:sz w:val="19"/>
              </w:rPr>
              <w:t>Kalite güvence dinleme puanı</w:t>
            </w:r>
          </w:p>
        </w:tc>
        <w:tc>
          <w:tcPr>
            <w:tcW w:type="dxa" w:w="1296"/>
            <w:tcMar>
              <w:top w:w="120" w:type="dxa"/>
              <w:bottom w:w="120" w:type="dxa"/>
              <w:left w:w="150" w:type="dxa"/>
              <w:right w:w="150" w:type="dxa"/>
            </w:tcMar>
          </w:tcPr>
          <w:p>
            <w:pPr>
              <w:spacing w:after="40" w:line="252" w:lineRule="auto"/>
            </w:pPr>
            <w:r>
              <w:rPr>
                <w:rFonts w:ascii="Calibri" w:hAnsi="Calibri"/>
                <w:sz w:val="19"/>
              </w:rPr>
              <w:t>30</w:t>
            </w:r>
          </w:p>
        </w:tc>
        <w:tc>
          <w:tcPr>
            <w:tcW w:type="dxa" w:w="1296"/>
            <w:tcMar>
              <w:top w:w="120" w:type="dxa"/>
              <w:bottom w:w="120" w:type="dxa"/>
              <w:left w:w="150" w:type="dxa"/>
              <w:right w:w="150" w:type="dxa"/>
            </w:tcMar>
          </w:tcPr>
          <w:p>
            <w:pPr>
              <w:spacing w:after="40" w:line="252" w:lineRule="auto"/>
            </w:pPr>
            <w:r>
              <w:rPr>
                <w:rFonts w:ascii="Calibri" w:hAnsi="Calibri"/>
                <w:sz w:val="19"/>
              </w:rPr>
              <w:t>%80</w:t>
            </w:r>
          </w:p>
        </w:tc>
        <w:tc>
          <w:tcPr>
            <w:tcW w:type="dxa" w:w="1296"/>
            <w:tcMar>
              <w:top w:w="120" w:type="dxa"/>
              <w:bottom w:w="120" w:type="dxa"/>
              <w:left w:w="150" w:type="dxa"/>
              <w:right w:w="150" w:type="dxa"/>
            </w:tcMar>
          </w:tcPr>
          <w:p>
            <w:pPr>
              <w:spacing w:after="40" w:line="252" w:lineRule="auto"/>
            </w:pPr>
            <w:r>
              <w:rPr>
                <w:rFonts w:ascii="Calibri" w:hAnsi="Calibri"/>
                <w:sz w:val="19"/>
              </w:rPr>
              <w:t>%74</w:t>
            </w:r>
          </w:p>
        </w:tc>
        <w:tc>
          <w:tcPr>
            <w:tcW w:type="dxa" w:w="1296"/>
            <w:tcMar>
              <w:top w:w="120" w:type="dxa"/>
              <w:bottom w:w="120" w:type="dxa"/>
              <w:left w:w="150" w:type="dxa"/>
              <w:right w:w="150" w:type="dxa"/>
            </w:tcMar>
          </w:tcPr>
          <w:p>
            <w:pPr>
              <w:spacing w:after="40" w:line="252" w:lineRule="auto"/>
            </w:pPr>
            <w:r>
              <w:rPr>
                <w:rFonts w:ascii="Calibri" w:hAnsi="Calibri"/>
                <w:sz w:val="19"/>
              </w:rPr>
              <w:t>%92,5</w:t>
            </w:r>
          </w:p>
        </w:tc>
        <w:tc>
          <w:tcPr>
            <w:tcW w:type="dxa" w:w="1296"/>
            <w:tcMar>
              <w:top w:w="120" w:type="dxa"/>
              <w:bottom w:w="120" w:type="dxa"/>
              <w:left w:w="150" w:type="dxa"/>
              <w:right w:w="150" w:type="dxa"/>
            </w:tcMar>
          </w:tcPr>
          <w:p>
            <w:pPr>
              <w:spacing w:after="40" w:line="252" w:lineRule="auto"/>
            </w:pPr>
            <w:r>
              <w:rPr>
                <w:rFonts w:ascii="Calibri" w:hAnsi="Calibri"/>
                <w:sz w:val="19"/>
              </w:rPr>
              <w:t>27,8</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3</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Ortalama çağrı süresi (AHT)</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20</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240 sn</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255 sn</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%94,1</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18,8</w:t>
            </w:r>
          </w:p>
        </w:tc>
      </w:tr>
      <w:tr>
        <w:tc>
          <w:tcPr>
            <w:tcW w:type="dxa" w:w="1296"/>
            <w:tcMar>
              <w:top w:w="120" w:type="dxa"/>
              <w:bottom w:w="120" w:type="dxa"/>
              <w:left w:w="150" w:type="dxa"/>
              <w:right w:w="150" w:type="dxa"/>
            </w:tcMar>
          </w:tcPr>
          <w:p>
            <w:pPr>
              <w:spacing w:after="40" w:line="252" w:lineRule="auto"/>
            </w:pPr>
            <w:r>
              <w:rPr>
                <w:rFonts w:ascii="Calibri" w:hAnsi="Calibri"/>
                <w:b/>
                <w:sz w:val="19"/>
              </w:rPr>
              <w:t>4</w:t>
            </w:r>
          </w:p>
        </w:tc>
        <w:tc>
          <w:tcPr>
            <w:tcW w:type="dxa" w:w="1296"/>
            <w:tcMar>
              <w:top w:w="120" w:type="dxa"/>
              <w:bottom w:w="120" w:type="dxa"/>
              <w:left w:w="150" w:type="dxa"/>
              <w:right w:w="150" w:type="dxa"/>
            </w:tcMar>
          </w:tcPr>
          <w:p>
            <w:pPr>
              <w:spacing w:after="40" w:line="252" w:lineRule="auto"/>
            </w:pPr>
            <w:r>
              <w:rPr>
                <w:rFonts w:ascii="Calibri" w:hAnsi="Calibri"/>
                <w:sz w:val="19"/>
              </w:rPr>
              <w:t>CRM bilet kaydı doğruluğu</w:t>
            </w:r>
          </w:p>
        </w:tc>
        <w:tc>
          <w:tcPr>
            <w:tcW w:type="dxa" w:w="1296"/>
            <w:tcMar>
              <w:top w:w="120" w:type="dxa"/>
              <w:bottom w:w="120" w:type="dxa"/>
              <w:left w:w="150" w:type="dxa"/>
              <w:right w:w="150" w:type="dxa"/>
            </w:tcMar>
          </w:tcPr>
          <w:p>
            <w:pPr>
              <w:spacing w:after="40" w:line="252" w:lineRule="auto"/>
            </w:pPr>
            <w:r>
              <w:rPr>
                <w:rFonts w:ascii="Calibri" w:hAnsi="Calibri"/>
                <w:sz w:val="19"/>
              </w:rPr>
              <w:t>15</w:t>
            </w:r>
          </w:p>
        </w:tc>
        <w:tc>
          <w:tcPr>
            <w:tcW w:type="dxa" w:w="1296"/>
            <w:tcMar>
              <w:top w:w="120" w:type="dxa"/>
              <w:bottom w:w="120" w:type="dxa"/>
              <w:left w:w="150" w:type="dxa"/>
              <w:right w:w="150" w:type="dxa"/>
            </w:tcMar>
          </w:tcPr>
          <w:p>
            <w:pPr>
              <w:spacing w:after="40" w:line="252" w:lineRule="auto"/>
            </w:pPr>
            <w:r>
              <w:rPr>
                <w:rFonts w:ascii="Calibri" w:hAnsi="Calibri"/>
                <w:sz w:val="19"/>
              </w:rPr>
              <w:t>%100</w:t>
            </w:r>
          </w:p>
        </w:tc>
        <w:tc>
          <w:tcPr>
            <w:tcW w:type="dxa" w:w="1296"/>
            <w:tcMar>
              <w:top w:w="120" w:type="dxa"/>
              <w:bottom w:w="120" w:type="dxa"/>
              <w:left w:w="150" w:type="dxa"/>
              <w:right w:w="150" w:type="dxa"/>
            </w:tcMar>
          </w:tcPr>
          <w:p>
            <w:pPr>
              <w:spacing w:after="40" w:line="252" w:lineRule="auto"/>
            </w:pPr>
            <w:r>
              <w:rPr>
                <w:rFonts w:ascii="Calibri" w:hAnsi="Calibri"/>
                <w:sz w:val="19"/>
              </w:rPr>
              <w:t>%96</w:t>
            </w:r>
          </w:p>
        </w:tc>
        <w:tc>
          <w:tcPr>
            <w:tcW w:type="dxa" w:w="1296"/>
            <w:tcMar>
              <w:top w:w="120" w:type="dxa"/>
              <w:bottom w:w="120" w:type="dxa"/>
              <w:left w:w="150" w:type="dxa"/>
              <w:right w:w="150" w:type="dxa"/>
            </w:tcMar>
          </w:tcPr>
          <w:p>
            <w:pPr>
              <w:spacing w:after="40" w:line="252" w:lineRule="auto"/>
            </w:pPr>
            <w:r>
              <w:rPr>
                <w:rFonts w:ascii="Calibri" w:hAnsi="Calibri"/>
                <w:sz w:val="19"/>
              </w:rPr>
              <w:t>%96</w:t>
            </w:r>
          </w:p>
        </w:tc>
        <w:tc>
          <w:tcPr>
            <w:tcW w:type="dxa" w:w="1296"/>
            <w:tcMar>
              <w:top w:w="120" w:type="dxa"/>
              <w:bottom w:w="120" w:type="dxa"/>
              <w:left w:w="150" w:type="dxa"/>
              <w:right w:w="150" w:type="dxa"/>
            </w:tcMar>
          </w:tcPr>
          <w:p>
            <w:pPr>
              <w:spacing w:after="40" w:line="252" w:lineRule="auto"/>
            </w:pPr>
            <w:r>
              <w:rPr>
                <w:rFonts w:ascii="Calibri" w:hAnsi="Calibri"/>
                <w:sz w:val="19"/>
              </w:rPr>
              <w:t>14,4</w:t>
            </w:r>
          </w:p>
        </w:tc>
      </w:tr>
      <w:tr>
        <w:tc>
          <w:tcPr>
            <w:tcW w:type="dxa" w:w="1296"/>
            <w:tcMar>
              <w:top w:w="120" w:type="dxa"/>
              <w:bottom w:w="120" w:type="dxa"/>
              <w:left w:w="150" w:type="dxa"/>
              <w:right w:w="150" w:type="dxa"/>
            </w:tcMar>
            <w:shd w:fill="F8FAFC"/>
          </w:tcPr>
          <w:p>
            <w:pPr>
              <w:spacing w:after="40" w:line="252" w:lineRule="auto"/>
            </w:pPr>
            <w:r>
              <w:rPr>
                <w:rFonts w:ascii="Calibri" w:hAnsi="Calibri"/>
                <w:b/>
                <w:sz w:val="19"/>
              </w:rPr>
              <w:t>TOPLAM</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100</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296"/>
            <w:tcMar>
              <w:top w:w="120" w:type="dxa"/>
              <w:bottom w:w="120" w:type="dxa"/>
              <w:left w:w="150" w:type="dxa"/>
              <w:right w:w="150" w:type="dxa"/>
            </w:tcMar>
            <w:shd w:fill="F8FAFC"/>
          </w:tcPr>
          <w:p>
            <w:pPr>
              <w:spacing w:after="40" w:line="252" w:lineRule="auto"/>
            </w:pPr>
            <w:r>
              <w:rPr>
                <w:rFonts w:ascii="Calibri" w:hAnsi="Calibri"/>
                <w:sz w:val="19"/>
              </w:rPr>
              <w:t>–</w:t>
            </w:r>
          </w:p>
        </w:tc>
        <w:tc>
          <w:tcPr>
            <w:tcW w:type="dxa" w:w="1296"/>
            <w:tcMar>
              <w:top w:w="120" w:type="dxa"/>
              <w:bottom w:w="120" w:type="dxa"/>
              <w:left w:w="150" w:type="dxa"/>
              <w:right w:w="150" w:type="dxa"/>
            </w:tcMar>
            <w:shd w:fill="F8FAFC"/>
          </w:tcPr>
          <w:p>
            <w:pPr>
              <w:spacing w:after="40" w:line="252" w:lineRule="auto"/>
            </w:pPr>
            <w:r>
              <w:rPr>
                <w:rFonts w:ascii="Calibri" w:hAnsi="Calibri"/>
                <w:b/>
                <w:sz w:val="19"/>
              </w:rPr>
              <w:t>[93,2 / 100]</w:t>
            </w:r>
          </w:p>
        </w:tc>
      </w:tr>
    </w:tbl>
    <w:p>
      <w:pPr>
        <w:spacing w:after="120"/>
      </w:pPr>
    </w:p>
    <w:p>
      <w:pPr>
        <w:spacing w:after="80" w:line="276" w:lineRule="auto"/>
      </w:pPr>
      <w:r>
        <w:rPr>
          <w:rFonts w:ascii="Calibri" w:hAnsi="Calibri"/>
          <w:b/>
        </w:rPr>
        <w:t>Karar Eşikleri</w:t>
      </w:r>
    </w:p>
    <w:p>
      <w:pPr>
        <w:pStyle w:val="ListBullet"/>
        <w:spacing w:after="40" w:line="276" w:lineRule="auto"/>
      </w:pPr>
      <w:r>
        <w:rPr>
          <w:rFonts w:ascii="Calibri" w:hAnsi="Calibri"/>
          <w:b/>
        </w:rPr>
        <w:t>85 puan ve üzeri:</w:t>
      </w:r>
      <w:r>
        <w:rPr>
          <w:rFonts w:ascii="Calibri" w:hAnsi="Calibri"/>
        </w:rPr>
        <w:t xml:space="preserve"> PIP başarılı sayılır, çalışan normal performans takip döngüsüne döner.</w:t>
      </w:r>
    </w:p>
    <w:p>
      <w:pPr>
        <w:pStyle w:val="ListBullet"/>
        <w:spacing w:after="40" w:line="276" w:lineRule="auto"/>
      </w:pPr>
      <w:r>
        <w:rPr>
          <w:rFonts w:ascii="Calibri" w:hAnsi="Calibri"/>
          <w:b/>
        </w:rPr>
        <w:t>70 - 84 puan arası:</w:t>
      </w:r>
      <w:r>
        <w:rPr>
          <w:rFonts w:ascii="Calibri" w:hAnsi="Calibri"/>
        </w:rPr>
        <w:t xml:space="preserve"> Kısmi gelişim kabul edilir; süre 30 gün daha uzatılır veya hedefler revize edilir (4857 s. K. Md. 22 uyarınca yazılı mutabakat).</w:t>
      </w:r>
    </w:p>
    <w:p>
      <w:pPr>
        <w:pStyle w:val="ListBullet"/>
        <w:spacing w:after="40" w:line="276" w:lineRule="auto"/>
      </w:pPr>
      <w:r>
        <w:rPr>
          <w:rFonts w:ascii="Calibri" w:hAnsi="Calibri"/>
          <w:b/>
        </w:rPr>
        <w:t>70 puan altı:</w:t>
      </w:r>
      <w:r>
        <w:rPr>
          <w:rFonts w:ascii="Calibri" w:hAnsi="Calibri"/>
        </w:rPr>
        <w:t xml:space="preserve"> Destek ve süreye rağmen hedeflere ulaşılamadığı belgelenmiş olup, geçerli nedenle fesih değerlendirmesi yapılır (4857 s. K. Md. 17, Md. 18).</w:t>
      </w:r>
    </w:p>
    <w:p>
      <w:pPr>
        <w:spacing w:before="200" w:after="80"/>
      </w:pPr>
      <w:r>
        <w:rPr>
          <w:rFonts w:ascii="Calibri" w:hAnsi="Calibri"/>
          <w:b/>
          <w:color w:val="1E3A8A"/>
          <w:sz w:val="28"/>
        </w:rPr>
        <w:t>11. FESİH GÜNDEME GELİRSE: İHBAR SÜRELERİ VE DAVA RİSKİ</w:t>
      </w:r>
    </w:p>
    <w:p>
      <w:pPr>
        <w:spacing w:after="80" w:line="276" w:lineRule="auto"/>
      </w:pPr>
      <w:r>
        <w:rPr>
          <w:rFonts w:ascii="Calibri" w:hAnsi="Calibri"/>
          <w:b/>
        </w:rPr>
        <w:t>4857 s. Kanun Md. 17 Uyarınca İhbar Süreleri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Çalışma Süresi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Bildirim (İhbar) Süresi</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Önel Kullandırılmazsa</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0 - 6 ay</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2 hafta</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2 haftalık ücret tutarında ihbar tazminatı</w:t>
            </w:r>
          </w:p>
        </w:tc>
      </w:tr>
      <w:tr>
        <w:tc>
          <w:tcPr>
            <w:tcW w:type="dxa" w:w="3024"/>
            <w:tcMar>
              <w:top w:w="120" w:type="dxa"/>
              <w:bottom w:w="120" w:type="dxa"/>
              <w:left w:w="150" w:type="dxa"/>
              <w:right w:w="150" w:type="dxa"/>
            </w:tcMar>
          </w:tcPr>
          <w:p>
            <w:pPr>
              <w:spacing w:after="40" w:line="252" w:lineRule="auto"/>
            </w:pPr>
            <w:r>
              <w:rPr>
                <w:rFonts w:ascii="Calibri" w:hAnsi="Calibri"/>
                <w:sz w:val="19"/>
              </w:rPr>
              <w:t>6 ay - 1,5 yıl</w:t>
            </w:r>
          </w:p>
        </w:tc>
        <w:tc>
          <w:tcPr>
            <w:tcW w:type="dxa" w:w="3024"/>
            <w:tcMar>
              <w:top w:w="120" w:type="dxa"/>
              <w:bottom w:w="120" w:type="dxa"/>
              <w:left w:w="150" w:type="dxa"/>
              <w:right w:w="150" w:type="dxa"/>
            </w:tcMar>
          </w:tcPr>
          <w:p>
            <w:pPr>
              <w:spacing w:after="40" w:line="252" w:lineRule="auto"/>
            </w:pPr>
            <w:r>
              <w:rPr>
                <w:rFonts w:ascii="Calibri" w:hAnsi="Calibri"/>
                <w:sz w:val="19"/>
              </w:rPr>
              <w:t>4 hafta</w:t>
            </w:r>
          </w:p>
        </w:tc>
        <w:tc>
          <w:tcPr>
            <w:tcW w:type="dxa" w:w="3024"/>
            <w:tcMar>
              <w:top w:w="120" w:type="dxa"/>
              <w:bottom w:w="120" w:type="dxa"/>
              <w:left w:w="150" w:type="dxa"/>
              <w:right w:w="150" w:type="dxa"/>
            </w:tcMar>
          </w:tcPr>
          <w:p>
            <w:pPr>
              <w:spacing w:after="40" w:line="252" w:lineRule="auto"/>
            </w:pPr>
            <w:r>
              <w:rPr>
                <w:rFonts w:ascii="Calibri" w:hAnsi="Calibri"/>
                <w:sz w:val="19"/>
              </w:rPr>
              <w:t>4 haftalık ücret tutarında ihbar tazminatı</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1,5 yıl - 3 yıl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6 hafta</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6 haftalık ücret tutarında ihbar tazminatı</w:t>
            </w:r>
          </w:p>
        </w:tc>
      </w:tr>
      <w:tr>
        <w:tc>
          <w:tcPr>
            <w:tcW w:type="dxa" w:w="3024"/>
            <w:tcMar>
              <w:top w:w="120" w:type="dxa"/>
              <w:bottom w:w="120" w:type="dxa"/>
              <w:left w:w="150" w:type="dxa"/>
              <w:right w:w="150" w:type="dxa"/>
            </w:tcMar>
          </w:tcPr>
          <w:p>
            <w:pPr>
              <w:spacing w:after="40" w:line="252" w:lineRule="auto"/>
            </w:pPr>
            <w:r>
              <w:rPr>
                <w:rFonts w:ascii="Calibri" w:hAnsi="Calibri"/>
                <w:sz w:val="19"/>
              </w:rPr>
              <w:t>3 yıl ve üzeri</w:t>
            </w:r>
          </w:p>
        </w:tc>
        <w:tc>
          <w:tcPr>
            <w:tcW w:type="dxa" w:w="3024"/>
            <w:tcMar>
              <w:top w:w="120" w:type="dxa"/>
              <w:bottom w:w="120" w:type="dxa"/>
              <w:left w:w="150" w:type="dxa"/>
              <w:right w:w="150" w:type="dxa"/>
            </w:tcMar>
          </w:tcPr>
          <w:p>
            <w:pPr>
              <w:spacing w:after="40" w:line="252" w:lineRule="auto"/>
            </w:pPr>
            <w:r>
              <w:rPr>
                <w:rFonts w:ascii="Calibri" w:hAnsi="Calibri"/>
                <w:sz w:val="19"/>
              </w:rPr>
              <w:t>8 hafta</w:t>
            </w:r>
          </w:p>
        </w:tc>
        <w:tc>
          <w:tcPr>
            <w:tcW w:type="dxa" w:w="3024"/>
            <w:tcMar>
              <w:top w:w="120" w:type="dxa"/>
              <w:bottom w:w="120" w:type="dxa"/>
              <w:left w:w="150" w:type="dxa"/>
              <w:right w:w="150" w:type="dxa"/>
            </w:tcMar>
          </w:tcPr>
          <w:p>
            <w:pPr>
              <w:spacing w:after="40" w:line="252" w:lineRule="auto"/>
            </w:pPr>
            <w:r>
              <w:rPr>
                <w:rFonts w:ascii="Calibri" w:hAnsi="Calibri"/>
                <w:sz w:val="19"/>
              </w:rPr>
              <w:t>8 haftalık ücret tutarında ihbar tazminatı</w:t>
            </w:r>
          </w:p>
        </w:tc>
      </w:tr>
    </w:tbl>
    <w:p>
      <w:pPr>
        <w:spacing w:after="120"/>
      </w:pPr>
    </w:p>
    <w:p>
      <w:pPr>
        <w:spacing w:after="80" w:line="276" w:lineRule="auto"/>
      </w:pPr>
      <w:r>
        <w:rPr>
          <w:rFonts w:ascii="Calibri" w:hAnsi="Calibri"/>
          <w:b/>
        </w:rPr>
        <w:t>Fesih Sonrası Süreç ve Riskler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Adım</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Süre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Dayanak</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Risk / Not</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Yazılı fesih bildirimi ve tebliğ</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Fesih tarihi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19/1</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Gerekçe açık olmazsa fesih geçersiz sayılabilir</w:t>
            </w:r>
          </w:p>
        </w:tc>
      </w:tr>
      <w:tr>
        <w:tc>
          <w:tcPr>
            <w:tcW w:type="dxa" w:w="2268"/>
            <w:tcMar>
              <w:top w:w="120" w:type="dxa"/>
              <w:bottom w:w="120" w:type="dxa"/>
              <w:left w:w="150" w:type="dxa"/>
              <w:right w:w="150" w:type="dxa"/>
            </w:tcMar>
          </w:tcPr>
          <w:p>
            <w:pPr>
              <w:spacing w:after="40" w:line="252" w:lineRule="auto"/>
            </w:pPr>
            <w:r>
              <w:rPr>
                <w:rFonts w:ascii="Calibri" w:hAnsi="Calibri"/>
                <w:sz w:val="19"/>
              </w:rPr>
              <w:t>Kıdem/ihbar/izin ücretlerinin ödenmesi</w:t>
            </w:r>
          </w:p>
        </w:tc>
        <w:tc>
          <w:tcPr>
            <w:tcW w:type="dxa" w:w="2268"/>
            <w:tcMar>
              <w:top w:w="120" w:type="dxa"/>
              <w:bottom w:w="120" w:type="dxa"/>
              <w:left w:w="150" w:type="dxa"/>
              <w:right w:w="150" w:type="dxa"/>
            </w:tcMar>
          </w:tcPr>
          <w:p>
            <w:pPr>
              <w:spacing w:after="40" w:line="252" w:lineRule="auto"/>
            </w:pPr>
            <w:r>
              <w:rPr>
                <w:rFonts w:ascii="Calibri" w:hAnsi="Calibri"/>
                <w:sz w:val="19"/>
              </w:rPr>
              <w:t>Fesih ile birlikte</w:t>
            </w:r>
          </w:p>
        </w:tc>
        <w:tc>
          <w:tcPr>
            <w:tcW w:type="dxa" w:w="2268"/>
            <w:tcMar>
              <w:top w:w="120" w:type="dxa"/>
              <w:bottom w:w="120" w:type="dxa"/>
              <w:left w:w="150" w:type="dxa"/>
              <w:right w:w="150" w:type="dxa"/>
            </w:tcMar>
          </w:tcPr>
          <w:p>
            <w:pPr>
              <w:spacing w:after="40" w:line="252" w:lineRule="auto"/>
            </w:pPr>
            <w:r>
              <w:rPr>
                <w:rFonts w:ascii="Calibri" w:hAnsi="Calibri"/>
                <w:sz w:val="19"/>
              </w:rPr>
              <w:t>1475 s. K. Md. 14, 4857 s. K. Md. 17, Md. 59</w:t>
            </w:r>
          </w:p>
        </w:tc>
        <w:tc>
          <w:tcPr>
            <w:tcW w:type="dxa" w:w="2268"/>
            <w:tcMar>
              <w:top w:w="120" w:type="dxa"/>
              <w:bottom w:w="120" w:type="dxa"/>
              <w:left w:w="150" w:type="dxa"/>
              <w:right w:w="150" w:type="dxa"/>
            </w:tcMar>
          </w:tcPr>
          <w:p>
            <w:pPr>
              <w:spacing w:after="40" w:line="252" w:lineRule="auto"/>
            </w:pPr>
            <w:r>
              <w:rPr>
                <w:rFonts w:ascii="Calibri" w:hAnsi="Calibri"/>
                <w:sz w:val="19"/>
              </w:rPr>
              <w:t>Ödeme banka kanalıyla ve bordro ile belgelenir</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Çalışma belgesi düzenlenmesi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Talep hâlinde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28</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Belge verilmemesi idari yaptırıma tabidir</w:t>
            </w:r>
          </w:p>
        </w:tc>
      </w:tr>
      <w:tr>
        <w:tc>
          <w:tcPr>
            <w:tcW w:type="dxa" w:w="2268"/>
            <w:tcMar>
              <w:top w:w="120" w:type="dxa"/>
              <w:bottom w:w="120" w:type="dxa"/>
              <w:left w:w="150" w:type="dxa"/>
              <w:right w:w="150" w:type="dxa"/>
            </w:tcMar>
          </w:tcPr>
          <w:p>
            <w:pPr>
              <w:spacing w:after="40" w:line="252" w:lineRule="auto"/>
            </w:pPr>
            <w:r>
              <w:rPr>
                <w:rFonts w:ascii="Calibri" w:hAnsi="Calibri"/>
                <w:sz w:val="19"/>
              </w:rPr>
              <w:t>Arabuluculuğa başvuru</w:t>
            </w:r>
          </w:p>
        </w:tc>
        <w:tc>
          <w:tcPr>
            <w:tcW w:type="dxa" w:w="2268"/>
            <w:tcMar>
              <w:top w:w="120" w:type="dxa"/>
              <w:bottom w:w="120" w:type="dxa"/>
              <w:left w:w="150" w:type="dxa"/>
              <w:right w:w="150" w:type="dxa"/>
            </w:tcMar>
          </w:tcPr>
          <w:p>
            <w:pPr>
              <w:spacing w:after="40" w:line="252" w:lineRule="auto"/>
            </w:pPr>
            <w:r>
              <w:rPr>
                <w:rFonts w:ascii="Calibri" w:hAnsi="Calibri"/>
                <w:sz w:val="19"/>
              </w:rPr>
              <w:t>Fesih sonrası</w:t>
            </w:r>
          </w:p>
        </w:tc>
        <w:tc>
          <w:tcPr>
            <w:tcW w:type="dxa" w:w="2268"/>
            <w:tcMar>
              <w:top w:w="120" w:type="dxa"/>
              <w:bottom w:w="120" w:type="dxa"/>
              <w:left w:w="150" w:type="dxa"/>
              <w:right w:w="150" w:type="dxa"/>
            </w:tcMar>
          </w:tcPr>
          <w:p>
            <w:pPr>
              <w:spacing w:after="40" w:line="252" w:lineRule="auto"/>
            </w:pPr>
            <w:r>
              <w:rPr>
                <w:rFonts w:ascii="Calibri" w:hAnsi="Calibri"/>
                <w:sz w:val="19"/>
              </w:rPr>
              <w:t>7036 s. K. Md. 3</w:t>
            </w:r>
          </w:p>
        </w:tc>
        <w:tc>
          <w:tcPr>
            <w:tcW w:type="dxa" w:w="2268"/>
            <w:tcMar>
              <w:top w:w="120" w:type="dxa"/>
              <w:bottom w:w="120" w:type="dxa"/>
              <w:left w:w="150" w:type="dxa"/>
              <w:right w:w="150" w:type="dxa"/>
            </w:tcMar>
          </w:tcPr>
          <w:p>
            <w:pPr>
              <w:spacing w:after="40" w:line="252" w:lineRule="auto"/>
            </w:pPr>
            <w:r>
              <w:rPr>
                <w:rFonts w:ascii="Calibri" w:hAnsi="Calibri"/>
                <w:sz w:val="19"/>
              </w:rPr>
              <w:t>Dava şartıdır; anlaşma sağlanırsa dosya kapanır</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İşe iade davası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Arabuluculuk sonrası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4857 s. K. Md. 20</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Fesih geçersiz sayılırsa işe başlatmama tazminatı (4-8 ay) ve boşta geçen süre ücreti (en çok 4 ay) gündeme gelir</w:t>
            </w:r>
          </w:p>
        </w:tc>
      </w:tr>
      <w:tr>
        <w:tc>
          <w:tcPr>
            <w:tcW w:type="dxa" w:w="2268"/>
            <w:tcMar>
              <w:top w:w="120" w:type="dxa"/>
              <w:bottom w:w="120" w:type="dxa"/>
              <w:left w:w="150" w:type="dxa"/>
              <w:right w:w="150" w:type="dxa"/>
            </w:tcMar>
          </w:tcPr>
          <w:p>
            <w:pPr>
              <w:spacing w:after="40" w:line="252" w:lineRule="auto"/>
            </w:pPr>
            <w:r>
              <w:rPr>
                <w:rFonts w:ascii="Calibri" w:hAnsi="Calibri"/>
                <w:sz w:val="19"/>
              </w:rPr>
              <w:t>Temyiz / istinaf</w:t>
            </w:r>
          </w:p>
        </w:tc>
        <w:tc>
          <w:tcPr>
            <w:tcW w:type="dxa" w:w="2268"/>
            <w:tcMar>
              <w:top w:w="120" w:type="dxa"/>
              <w:bottom w:w="120" w:type="dxa"/>
              <w:left w:w="150" w:type="dxa"/>
              <w:right w:w="150" w:type="dxa"/>
            </w:tcMar>
          </w:tcPr>
          <w:p>
            <w:pPr>
              <w:spacing w:after="40" w:line="252" w:lineRule="auto"/>
            </w:pPr>
            <w:r>
              <w:rPr>
                <w:rFonts w:ascii="Calibri" w:hAnsi="Calibri"/>
                <w:sz w:val="19"/>
              </w:rPr>
              <w:t>Karar sonrası</w:t>
            </w:r>
          </w:p>
        </w:tc>
        <w:tc>
          <w:tcPr>
            <w:tcW w:type="dxa" w:w="2268"/>
            <w:tcMar>
              <w:top w:w="120" w:type="dxa"/>
              <w:bottom w:w="120" w:type="dxa"/>
              <w:left w:w="150" w:type="dxa"/>
              <w:right w:w="150" w:type="dxa"/>
            </w:tcMar>
          </w:tcPr>
          <w:p>
            <w:pPr>
              <w:spacing w:after="40" w:line="252" w:lineRule="auto"/>
            </w:pPr>
            <w:r>
              <w:rPr>
                <w:rFonts w:ascii="Calibri" w:hAnsi="Calibri"/>
                <w:sz w:val="19"/>
              </w:rPr>
              <w:t>6100 s. HMK</w:t>
            </w:r>
          </w:p>
        </w:tc>
        <w:tc>
          <w:tcPr>
            <w:tcW w:type="dxa" w:w="2268"/>
            <w:tcMar>
              <w:top w:w="120" w:type="dxa"/>
              <w:bottom w:w="120" w:type="dxa"/>
              <w:left w:w="150" w:type="dxa"/>
              <w:right w:w="150" w:type="dxa"/>
            </w:tcMar>
          </w:tcPr>
          <w:p>
            <w:pPr>
              <w:spacing w:after="40" w:line="252" w:lineRule="auto"/>
            </w:pPr>
            <w:r>
              <w:rPr>
                <w:rFonts w:ascii="Calibri" w:hAnsi="Calibri"/>
                <w:sz w:val="19"/>
              </w:rPr>
              <w:t>Karar kesinleşmeden işe iade uygulanmaz</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İşçilik alacakları zamanaşımı</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Kıdem 10 yıl, ücret 5 yıl</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TBK Md. 146, Md. 147</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İspat yükü ağırlıklı olarak işverendedir</w:t>
            </w:r>
          </w:p>
        </w:tc>
      </w:tr>
    </w:tbl>
    <w:p>
      <w:pPr>
        <w:spacing w:after="120"/>
      </w:pPr>
    </w:p>
    <w:p>
      <w:pPr>
        <w:spacing w:before="80" w:after="120"/>
        <w:ind w:left="576"/>
      </w:pPr>
      <w:r>
        <w:rPr>
          <w:rFonts w:ascii="Calibri" w:hAnsi="Calibri"/>
          <w:i/>
          <w:color w:val="64748B"/>
          <w:sz w:val="21"/>
        </w:rPr>
        <w:t>Önemli: PIP süresi ihbar süresi yerine geçmez. Fesih kararı verilirse ihbar öneli (Md. 17) ayrıca dikkate alınmalı, önel kullandırılmıyorsa ihbar tazminatı bordroda gösterilmelidir.</w:t>
      </w:r>
    </w:p>
    <w:p>
      <w:pPr>
        <w:spacing w:before="200" w:after="80"/>
      </w:pPr>
      <w:r>
        <w:rPr>
          <w:rFonts w:ascii="Calibri" w:hAnsi="Calibri"/>
          <w:b/>
          <w:color w:val="1E3A8A"/>
          <w:sz w:val="28"/>
        </w:rPr>
        <w:t>12. SIK YAPILAN HATALAR VE ÖNLENMESİ</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3024"/>
        <w:gridCol w:w="3024"/>
        <w:gridCol w:w="3024"/>
      </w:tblGrid>
      <w:tr>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Sık Yapılan Hata</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Hukuki Sonuç</w:t>
            </w:r>
          </w:p>
        </w:tc>
        <w:tc>
          <w:tcPr>
            <w:tcW w:type="dxa" w:w="3024"/>
            <w:tcMar>
              <w:top w:w="120" w:type="dxa"/>
              <w:bottom w:w="120" w:type="dxa"/>
              <w:left w:w="150" w:type="dxa"/>
              <w:right w:w="150" w:type="dxa"/>
            </w:tcMar>
            <w:shd w:fill="F1F5F9"/>
          </w:tcPr>
          <w:p>
            <w:pPr>
              <w:spacing w:after="40" w:line="252" w:lineRule="auto"/>
            </w:pPr>
            <w:r>
              <w:rPr>
                <w:rFonts w:ascii="Calibri" w:hAnsi="Calibri"/>
                <w:b/>
                <w:color w:val="0F172A"/>
                <w:sz w:val="20"/>
              </w:rPr>
              <w:t>Önleyici Tedbir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Hedeflerin soyut yazılması ("daha verimli ol")</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Fesih geçersiz sayılır</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SMART hedefler ve ölçüm metriği zorunlu tutulur</w:t>
            </w:r>
          </w:p>
        </w:tc>
      </w:tr>
      <w:tr>
        <w:tc>
          <w:tcPr>
            <w:tcW w:type="dxa" w:w="3024"/>
            <w:tcMar>
              <w:top w:w="120" w:type="dxa"/>
              <w:bottom w:w="120" w:type="dxa"/>
              <w:left w:w="150" w:type="dxa"/>
              <w:right w:w="150" w:type="dxa"/>
            </w:tcMar>
          </w:tcPr>
          <w:p>
            <w:pPr>
              <w:spacing w:after="40" w:line="252" w:lineRule="auto"/>
            </w:pPr>
            <w:r>
              <w:rPr>
                <w:rFonts w:ascii="Calibri" w:hAnsi="Calibri"/>
                <w:sz w:val="19"/>
              </w:rPr>
              <w:t>PIP süresinin çok kısa tutulması (10-15 gün)</w:t>
            </w:r>
          </w:p>
        </w:tc>
        <w:tc>
          <w:tcPr>
            <w:tcW w:type="dxa" w:w="3024"/>
            <w:tcMar>
              <w:top w:w="120" w:type="dxa"/>
              <w:bottom w:w="120" w:type="dxa"/>
              <w:left w:w="150" w:type="dxa"/>
              <w:right w:w="150" w:type="dxa"/>
            </w:tcMar>
          </w:tcPr>
          <w:p>
            <w:pPr>
              <w:spacing w:after="40" w:line="252" w:lineRule="auto"/>
            </w:pPr>
            <w:r>
              <w:rPr>
                <w:rFonts w:ascii="Calibri" w:hAnsi="Calibri"/>
                <w:sz w:val="19"/>
              </w:rPr>
              <w:t>İyileşme fırsatı verilmediği kabul edilir</w:t>
            </w:r>
          </w:p>
        </w:tc>
        <w:tc>
          <w:tcPr>
            <w:tcW w:type="dxa" w:w="3024"/>
            <w:tcMar>
              <w:top w:w="120" w:type="dxa"/>
              <w:bottom w:w="120" w:type="dxa"/>
              <w:left w:w="150" w:type="dxa"/>
              <w:right w:w="150" w:type="dxa"/>
            </w:tcMar>
          </w:tcPr>
          <w:p>
            <w:pPr>
              <w:spacing w:after="40" w:line="252" w:lineRule="auto"/>
            </w:pPr>
            <w:r>
              <w:rPr>
                <w:rFonts w:ascii="Calibri" w:hAnsi="Calibri"/>
                <w:sz w:val="19"/>
              </w:rPr>
              <w:t>En az 30-60 gün, ihtiyaç hâlinde 90 gün</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Savunma alınmadan fesih</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Fesih usul yönünden sakat olur (4857 s. K. Md. 19/2)</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Savunma yazılı istenir, süre tanınır, tebliğ belgelenir</w:t>
            </w:r>
          </w:p>
        </w:tc>
      </w:tr>
      <w:tr>
        <w:tc>
          <w:tcPr>
            <w:tcW w:type="dxa" w:w="3024"/>
            <w:tcMar>
              <w:top w:w="120" w:type="dxa"/>
              <w:bottom w:w="120" w:type="dxa"/>
              <w:left w:w="150" w:type="dxa"/>
              <w:right w:w="150" w:type="dxa"/>
            </w:tcMar>
          </w:tcPr>
          <w:p>
            <w:pPr>
              <w:spacing w:after="40" w:line="252" w:lineRule="auto"/>
            </w:pPr>
            <w:r>
              <w:rPr>
                <w:rFonts w:ascii="Calibri" w:hAnsi="Calibri"/>
                <w:sz w:val="19"/>
              </w:rPr>
              <w:t>Aynı ekipteki farklı çalışanlara farklı ölçüt uygulanması</w:t>
            </w:r>
          </w:p>
        </w:tc>
        <w:tc>
          <w:tcPr>
            <w:tcW w:type="dxa" w:w="3024"/>
            <w:tcMar>
              <w:top w:w="120" w:type="dxa"/>
              <w:bottom w:w="120" w:type="dxa"/>
              <w:left w:w="150" w:type="dxa"/>
              <w:right w:w="150" w:type="dxa"/>
            </w:tcMar>
          </w:tcPr>
          <w:p>
            <w:pPr>
              <w:spacing w:after="40" w:line="252" w:lineRule="auto"/>
            </w:pPr>
            <w:r>
              <w:rPr>
                <w:rFonts w:ascii="Calibri" w:hAnsi="Calibri"/>
                <w:sz w:val="19"/>
              </w:rPr>
              <w:t>Eşit davranma borcunun ihlali (4857 s. K. Md. 5)</w:t>
            </w:r>
          </w:p>
        </w:tc>
        <w:tc>
          <w:tcPr>
            <w:tcW w:type="dxa" w:w="3024"/>
            <w:tcMar>
              <w:top w:w="120" w:type="dxa"/>
              <w:bottom w:w="120" w:type="dxa"/>
              <w:left w:w="150" w:type="dxa"/>
              <w:right w:w="150" w:type="dxa"/>
            </w:tcMar>
          </w:tcPr>
          <w:p>
            <w:pPr>
              <w:spacing w:after="40" w:line="252" w:lineRule="auto"/>
            </w:pPr>
            <w:r>
              <w:rPr>
                <w:rFonts w:ascii="Calibri" w:hAnsi="Calibri"/>
                <w:sz w:val="19"/>
              </w:rPr>
              <w:t>Ölçütler tüm ekip için aynı yazılı formda belirlenir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Eğitim/koçluk desteğinin belgelenmemesi</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İşverenin destek verdiği ispatlanamaz</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Eğitim kaydı ve koçluk tutanakları imzalı tutulur</w:t>
            </w:r>
          </w:p>
        </w:tc>
      </w:tr>
      <w:tr>
        <w:tc>
          <w:tcPr>
            <w:tcW w:type="dxa" w:w="3024"/>
            <w:tcMar>
              <w:top w:w="120" w:type="dxa"/>
              <w:bottom w:w="120" w:type="dxa"/>
              <w:left w:w="150" w:type="dxa"/>
              <w:right w:w="150" w:type="dxa"/>
            </w:tcMar>
          </w:tcPr>
          <w:p>
            <w:pPr>
              <w:spacing w:after="40" w:line="252" w:lineRule="auto"/>
            </w:pPr>
            <w:r>
              <w:rPr>
                <w:rFonts w:ascii="Calibri" w:hAnsi="Calibri"/>
                <w:sz w:val="19"/>
              </w:rPr>
              <w:t>Sadece yönetici gözlemine dayanılması</w:t>
            </w:r>
          </w:p>
        </w:tc>
        <w:tc>
          <w:tcPr>
            <w:tcW w:type="dxa" w:w="3024"/>
            <w:tcMar>
              <w:top w:w="120" w:type="dxa"/>
              <w:bottom w:w="120" w:type="dxa"/>
              <w:left w:w="150" w:type="dxa"/>
              <w:right w:w="150" w:type="dxa"/>
            </w:tcMar>
          </w:tcPr>
          <w:p>
            <w:pPr>
              <w:spacing w:after="40" w:line="252" w:lineRule="auto"/>
            </w:pPr>
            <w:r>
              <w:rPr>
                <w:rFonts w:ascii="Calibri" w:hAnsi="Calibri"/>
                <w:sz w:val="19"/>
              </w:rPr>
              <w:t>Objektif veri bulunmadığı için iddia ispatsız kalır</w:t>
            </w:r>
          </w:p>
        </w:tc>
        <w:tc>
          <w:tcPr>
            <w:tcW w:type="dxa" w:w="3024"/>
            <w:tcMar>
              <w:top w:w="120" w:type="dxa"/>
              <w:bottom w:w="120" w:type="dxa"/>
              <w:left w:w="150" w:type="dxa"/>
              <w:right w:w="150" w:type="dxa"/>
            </w:tcMar>
          </w:tcPr>
          <w:p>
            <w:pPr>
              <w:spacing w:after="40" w:line="252" w:lineRule="auto"/>
            </w:pPr>
            <w:r>
              <w:rPr>
                <w:rFonts w:ascii="Calibri" w:hAnsi="Calibri"/>
                <w:sz w:val="19"/>
              </w:rPr>
              <w:t>Ölçüm raporu, QA puanı ve CRM kaydı eklenir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PIP dosyasının özlük dosyasından ayrı yerlerde tutulması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Belgelerin bütünlüğü bozulur</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Tek dosyada dijital + fiziksel nüsha saklanır</w:t>
            </w:r>
          </w:p>
        </w:tc>
      </w:tr>
      <w:tr>
        <w:tc>
          <w:tcPr>
            <w:tcW w:type="dxa" w:w="3024"/>
            <w:tcMar>
              <w:top w:w="120" w:type="dxa"/>
              <w:bottom w:w="120" w:type="dxa"/>
              <w:left w:w="150" w:type="dxa"/>
              <w:right w:w="150" w:type="dxa"/>
            </w:tcMar>
          </w:tcPr>
          <w:p>
            <w:pPr>
              <w:spacing w:after="40" w:line="252" w:lineRule="auto"/>
            </w:pPr>
            <w:r>
              <w:rPr>
                <w:rFonts w:ascii="Calibri" w:hAnsi="Calibri"/>
                <w:sz w:val="19"/>
              </w:rPr>
              <w:t>Performans verisinin üçüncü kişilerle paylaşılması</w:t>
            </w:r>
          </w:p>
        </w:tc>
        <w:tc>
          <w:tcPr>
            <w:tcW w:type="dxa" w:w="3024"/>
            <w:tcMar>
              <w:top w:w="120" w:type="dxa"/>
              <w:bottom w:w="120" w:type="dxa"/>
              <w:left w:w="150" w:type="dxa"/>
              <w:right w:w="150" w:type="dxa"/>
            </w:tcMar>
          </w:tcPr>
          <w:p>
            <w:pPr>
              <w:spacing w:after="40" w:line="252" w:lineRule="auto"/>
            </w:pPr>
            <w:r>
              <w:rPr>
                <w:rFonts w:ascii="Calibri" w:hAnsi="Calibri"/>
                <w:sz w:val="19"/>
              </w:rPr>
              <w:t>KVKK ihlali ve tazminat riski (6698 s. K. Md. 12)</w:t>
            </w:r>
          </w:p>
        </w:tc>
        <w:tc>
          <w:tcPr>
            <w:tcW w:type="dxa" w:w="3024"/>
            <w:tcMar>
              <w:top w:w="120" w:type="dxa"/>
              <w:bottom w:w="120" w:type="dxa"/>
              <w:left w:w="150" w:type="dxa"/>
              <w:right w:w="150" w:type="dxa"/>
            </w:tcMar>
          </w:tcPr>
          <w:p>
            <w:pPr>
              <w:spacing w:after="40" w:line="252" w:lineRule="auto"/>
            </w:pPr>
            <w:r>
              <w:rPr>
                <w:rFonts w:ascii="Calibri" w:hAnsi="Calibri"/>
                <w:sz w:val="19"/>
              </w:rPr>
              <w:t>Erişim yetkisi İK ve yönetici ile sınırlandırılır</w:t>
            </w:r>
          </w:p>
        </w:tc>
      </w:tr>
      <w:tr>
        <w:tc>
          <w:tcPr>
            <w:tcW w:type="dxa" w:w="3024"/>
            <w:tcMar>
              <w:top w:w="120" w:type="dxa"/>
              <w:bottom w:w="120" w:type="dxa"/>
              <w:left w:w="150" w:type="dxa"/>
              <w:right w:w="150" w:type="dxa"/>
            </w:tcMar>
            <w:shd w:fill="F8FAFC"/>
          </w:tcPr>
          <w:p>
            <w:pPr>
              <w:spacing w:after="40" w:line="252" w:lineRule="auto"/>
            </w:pPr>
            <w:r>
              <w:rPr>
                <w:rFonts w:ascii="Calibri" w:hAnsi="Calibri"/>
                <w:sz w:val="19"/>
              </w:rPr>
              <w:t>Geri bildirim toplantılarının tutanaksız yapılması</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Süreç ve tarihler ispat edilemez</w:t>
            </w:r>
          </w:p>
        </w:tc>
        <w:tc>
          <w:tcPr>
            <w:tcW w:type="dxa" w:w="3024"/>
            <w:tcMar>
              <w:top w:w="120" w:type="dxa"/>
              <w:bottom w:w="120" w:type="dxa"/>
              <w:left w:w="150" w:type="dxa"/>
              <w:right w:w="150" w:type="dxa"/>
            </w:tcMar>
            <w:shd w:fill="F8FAFC"/>
          </w:tcPr>
          <w:p>
            <w:pPr>
              <w:spacing w:after="40" w:line="252" w:lineRule="auto"/>
            </w:pPr>
            <w:r>
              <w:rPr>
                <w:rFonts w:ascii="Calibri" w:hAnsi="Calibri"/>
                <w:sz w:val="19"/>
              </w:rPr>
              <w:t>Her toplantı için imzalı tutanak düzenlenir</w:t>
            </w:r>
          </w:p>
        </w:tc>
      </w:tr>
    </w:tbl>
    <w:p>
      <w:pPr>
        <w:spacing w:after="120"/>
      </w:pPr>
    </w:p>
    <w:p>
      <w:pPr>
        <w:spacing w:before="200" w:after="80"/>
      </w:pPr>
      <w:r>
        <w:rPr>
          <w:rFonts w:ascii="Calibri" w:hAnsi="Calibri"/>
          <w:b/>
          <w:color w:val="1E3A8A"/>
          <w:sz w:val="28"/>
        </w:rPr>
        <w:t>13. TEBLİĞ VE İMZA ŞERHİ</w:t>
      </w:r>
    </w:p>
    <w:p>
      <w:pPr>
        <w:spacing w:after="80" w:line="276" w:lineRule="auto"/>
      </w:pPr>
      <w:r>
        <w:rPr>
          <w:rFonts w:ascii="Calibri" w:hAnsi="Calibri"/>
          <w:b/>
        </w:rPr>
        <w:t>Tebliğ Yöntemleri</w:t>
      </w:r>
    </w:p>
    <w:p>
      <w:pPr>
        <w:pStyle w:val="ListBullet"/>
        <w:spacing w:after="40" w:line="276" w:lineRule="auto"/>
      </w:pPr>
      <w:r>
        <w:rPr>
          <w:rFonts w:ascii="Calibri" w:hAnsi="Calibri"/>
        </w:rPr>
        <w:t>Elden tebliğ: Çalışanın ıslak imzası alınır; imzadan imtina hâlinde iki tanık huzurunda tutanak düzenlenir.</w:t>
      </w:r>
    </w:p>
    <w:p>
      <w:pPr>
        <w:pStyle w:val="ListBullet"/>
        <w:spacing w:after="40" w:line="276" w:lineRule="auto"/>
      </w:pPr>
      <w:r>
        <w:rPr>
          <w:rFonts w:ascii="Calibri" w:hAnsi="Calibri"/>
        </w:rPr>
        <w:t>İadeli taahhütlü posta: Tebliğ tarihi posta alındısı ile belgelenir (7201 s. Tebligat Kanunu hükümleri kıyasen uygulanır).</w:t>
      </w:r>
    </w:p>
    <w:p>
      <w:pPr>
        <w:pStyle w:val="ListBullet"/>
        <w:spacing w:after="40" w:line="276" w:lineRule="auto"/>
      </w:pPr>
      <w:r>
        <w:rPr>
          <w:rFonts w:ascii="Calibri" w:hAnsi="Calibri"/>
        </w:rPr>
        <w:t>Elektronik tebliğ: Kurumsal e-posta veya çalışan portalı üzerinden gönderim; okundu kaydı saklanır.</w:t>
      </w:r>
    </w:p>
    <w:tbl>
      <w:tblPr>
        <w:tblW w:type="auto" w:w="0"/>
        <w:jc w:val="center"/>
        <w:tblLayout w:type="autofit"/>
        <w:tblLook w:firstColumn="1" w:firstRow="1" w:lastColumn="0" w:lastRow="0" w:noHBand="0" w:noVBand="1" w:val="04A0"/>
        <w:tblBorders>
          <w:top w:val="single" w:sz="4" w:space="0" w:color="CBD5E1"/>
          <w:bottom w:val="single" w:sz="4" w:space="0" w:color="CBD5E1"/>
          <w:left w:val="none"/>
          <w:right w:val="none"/>
          <w:insideH w:val="single" w:sz="4" w:space="0" w:color="E2E8F0"/>
          <w:insideV w:val="none"/>
        </w:tblBorders>
      </w:tblPr>
      <w:tblGrid>
        <w:gridCol w:w="2268"/>
        <w:gridCol w:w="2268"/>
        <w:gridCol w:w="2268"/>
        <w:gridCol w:w="2268"/>
      </w:tblGrid>
      <w:tr>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Belge</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Tebliğ Tarihi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Tebliğ Yöntemi</w:t>
            </w:r>
          </w:p>
        </w:tc>
        <w:tc>
          <w:tcPr>
            <w:tcW w:type="dxa" w:w="2268"/>
            <w:tcMar>
              <w:top w:w="120" w:type="dxa"/>
              <w:bottom w:w="120" w:type="dxa"/>
              <w:left w:w="150" w:type="dxa"/>
              <w:right w:w="150" w:type="dxa"/>
            </w:tcMar>
            <w:shd w:fill="F1F5F9"/>
          </w:tcPr>
          <w:p>
            <w:pPr>
              <w:spacing w:after="40" w:line="252" w:lineRule="auto"/>
            </w:pPr>
            <w:r>
              <w:rPr>
                <w:rFonts w:ascii="Calibri" w:hAnsi="Calibri"/>
                <w:b/>
                <w:color w:val="0F172A"/>
                <w:sz w:val="20"/>
              </w:rPr>
              <w:t>İmza / Şerh</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PIP metni ve hedefleri</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[Elden]</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___</w:t>
            </w:r>
          </w:p>
        </w:tc>
      </w:tr>
      <w:tr>
        <w:tc>
          <w:tcPr>
            <w:tcW w:type="dxa" w:w="2268"/>
            <w:tcMar>
              <w:top w:w="120" w:type="dxa"/>
              <w:bottom w:w="120" w:type="dxa"/>
              <w:left w:w="150" w:type="dxa"/>
              <w:right w:w="150" w:type="dxa"/>
            </w:tcMar>
          </w:tcPr>
          <w:p>
            <w:pPr>
              <w:spacing w:after="40" w:line="252" w:lineRule="auto"/>
            </w:pPr>
            <w:r>
              <w:rPr>
                <w:rFonts w:ascii="Calibri" w:hAnsi="Calibri"/>
                <w:sz w:val="19"/>
              </w:rPr>
              <w:t>Ara değerlendirme tutanakları</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sz w:val="19"/>
              </w:rPr>
              <w:t>[Elden]</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___</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Nihai değerlendirme sonuç formu</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[Elden]</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___</w:t>
            </w:r>
          </w:p>
        </w:tc>
      </w:tr>
      <w:tr>
        <w:tc>
          <w:tcPr>
            <w:tcW w:type="dxa" w:w="2268"/>
            <w:tcMar>
              <w:top w:w="120" w:type="dxa"/>
              <w:bottom w:w="120" w:type="dxa"/>
              <w:left w:w="150" w:type="dxa"/>
              <w:right w:w="150" w:type="dxa"/>
            </w:tcMar>
          </w:tcPr>
          <w:p>
            <w:pPr>
              <w:spacing w:after="40" w:line="252" w:lineRule="auto"/>
            </w:pPr>
            <w:r>
              <w:rPr>
                <w:rFonts w:ascii="Calibri" w:hAnsi="Calibri"/>
                <w:sz w:val="19"/>
              </w:rPr>
              <w:t>Savunma isteme yazısı</w:t>
            </w:r>
          </w:p>
        </w:tc>
        <w:tc>
          <w:tcPr>
            <w:tcW w:type="dxa" w:w="2268"/>
            <w:tcMar>
              <w:top w:w="120" w:type="dxa"/>
              <w:bottom w:w="120" w:type="dxa"/>
              <w:left w:w="150" w:type="dxa"/>
              <w:right w:w="150" w:type="dxa"/>
            </w:tcMar>
          </w:tcPr>
          <w:p>
            <w:pPr>
              <w:spacing w:after="40" w:line="252" w:lineRule="auto"/>
            </w:pPr>
            <w:r>
              <w:rPr>
                <w:rFonts w:ascii="Calibri" w:hAnsi="Calibri"/>
                <w:sz w:val="19"/>
              </w:rPr>
              <w:t>[GG/AA/YYYY]</w:t>
            </w:r>
          </w:p>
        </w:tc>
        <w:tc>
          <w:tcPr>
            <w:tcW w:type="dxa" w:w="2268"/>
            <w:tcMar>
              <w:top w:w="120" w:type="dxa"/>
              <w:bottom w:w="120" w:type="dxa"/>
              <w:left w:w="150" w:type="dxa"/>
              <w:right w:w="150" w:type="dxa"/>
            </w:tcMar>
          </w:tcPr>
          <w:p>
            <w:pPr>
              <w:spacing w:after="40" w:line="252" w:lineRule="auto"/>
            </w:pPr>
            <w:r>
              <w:rPr>
                <w:rFonts w:ascii="Calibri" w:hAnsi="Calibri"/>
                <w:sz w:val="19"/>
              </w:rPr>
              <w:t>[İadeli taahhütlü]</w:t>
            </w:r>
          </w:p>
        </w:tc>
        <w:tc>
          <w:tcPr>
            <w:tcW w:type="dxa" w:w="2268"/>
            <w:tcMar>
              <w:top w:w="120" w:type="dxa"/>
              <w:bottom w:w="120" w:type="dxa"/>
              <w:left w:w="150" w:type="dxa"/>
              <w:right w:w="150" w:type="dxa"/>
            </w:tcMar>
          </w:tcPr>
          <w:p>
            <w:pPr>
              <w:spacing w:after="40" w:line="252" w:lineRule="auto"/>
            </w:pPr>
            <w:r>
              <w:rPr>
                <w:rFonts w:ascii="Calibri" w:hAnsi="Calibri"/>
                <w:b/>
                <w:sz w:val="19"/>
              </w:rPr>
              <w:t>_</w:t>
            </w:r>
            <w:r>
              <w:rPr>
                <w:rFonts w:ascii="Calibri" w:hAnsi="Calibri"/>
                <w:sz w:val="19"/>
              </w:rPr>
              <w:t>___</w:t>
            </w:r>
          </w:p>
        </w:tc>
      </w:tr>
      <w:tr>
        <w:tc>
          <w:tcPr>
            <w:tcW w:type="dxa" w:w="2268"/>
            <w:tcMar>
              <w:top w:w="120" w:type="dxa"/>
              <w:bottom w:w="120" w:type="dxa"/>
              <w:left w:w="150" w:type="dxa"/>
              <w:right w:w="150" w:type="dxa"/>
            </w:tcMar>
            <w:shd w:fill="F8FAFC"/>
          </w:tcPr>
          <w:p>
            <w:pPr>
              <w:spacing w:after="40" w:line="252" w:lineRule="auto"/>
            </w:pPr>
            <w:r>
              <w:rPr>
                <w:rFonts w:ascii="Calibri" w:hAnsi="Calibri"/>
                <w:sz w:val="19"/>
              </w:rPr>
              <w:t>Fesih bildirimi (gerekirse)</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[GG/AA/YYYY]</w:t>
            </w:r>
          </w:p>
        </w:tc>
        <w:tc>
          <w:tcPr>
            <w:tcW w:type="dxa" w:w="2268"/>
            <w:tcMar>
              <w:top w:w="120" w:type="dxa"/>
              <w:bottom w:w="120" w:type="dxa"/>
              <w:left w:w="150" w:type="dxa"/>
              <w:right w:w="150" w:type="dxa"/>
            </w:tcMar>
            <w:shd w:fill="F8FAFC"/>
          </w:tcPr>
          <w:p>
            <w:pPr>
              <w:spacing w:after="40" w:line="252" w:lineRule="auto"/>
            </w:pPr>
            <w:r>
              <w:rPr>
                <w:rFonts w:ascii="Calibri" w:hAnsi="Calibri"/>
                <w:sz w:val="19"/>
              </w:rPr>
              <w:t>[İadeli taahhütlü]</w:t>
            </w:r>
          </w:p>
        </w:tc>
        <w:tc>
          <w:tcPr>
            <w:tcW w:type="dxa" w:w="2268"/>
            <w:tcMar>
              <w:top w:w="120" w:type="dxa"/>
              <w:bottom w:w="120" w:type="dxa"/>
              <w:left w:w="150" w:type="dxa"/>
              <w:right w:w="150" w:type="dxa"/>
            </w:tcMar>
            <w:shd w:fill="F8FAFC"/>
          </w:tcPr>
          <w:p>
            <w:pPr>
              <w:spacing w:after="40" w:line="252" w:lineRule="auto"/>
            </w:pPr>
            <w:r>
              <w:rPr>
                <w:rFonts w:ascii="Calibri" w:hAnsi="Calibri"/>
                <w:b/>
                <w:sz w:val="19"/>
              </w:rPr>
              <w:t>_</w:t>
            </w:r>
            <w:r>
              <w:rPr>
                <w:rFonts w:ascii="Calibri" w:hAnsi="Calibri"/>
                <w:sz w:val="19"/>
              </w:rPr>
              <w:t>___</w:t>
            </w:r>
          </w:p>
        </w:tc>
      </w:tr>
    </w:tbl>
    <w:p>
      <w:pPr>
        <w:spacing w:after="120"/>
      </w:pPr>
    </w:p>
    <w:p>
      <w:pPr>
        <w:spacing w:before="80" w:after="120"/>
        <w:ind w:left="576"/>
      </w:pPr>
      <w:r>
        <w:rPr>
          <w:rFonts w:ascii="Calibri" w:hAnsi="Calibri"/>
          <w:i/>
          <w:color w:val="64748B"/>
          <w:sz w:val="21"/>
        </w:rPr>
        <w:t>Kapanış Beyanı: Bu plan kapsamındaki hedefler, ölçüm yöntemleri, sağlanan destekler ve değerlendirme takvimi tarafıma yazılı olarak tebliğ edilmiştir. Planın tarafımca imzalanması, hedeflerin kabulü anlamına gelmez; yalnızca içeriğin öğrenildiğini gösterir.</w:t>
      </w:r>
    </w:p>
    <w:p>
      <w:pPr>
        <w:pStyle w:val="ListBullet"/>
        <w:spacing w:after="40" w:line="276" w:lineRule="auto"/>
      </w:pPr>
      <w:r>
        <w:rPr>
          <w:rFonts w:ascii="Calibri" w:hAnsi="Calibri"/>
          <w:b/>
        </w:rPr>
        <w:t>Çalışan:</w:t>
      </w:r>
      <w:r>
        <w:rPr>
          <w:rFonts w:ascii="Calibri" w:hAnsi="Calibri"/>
        </w:rPr>
        <w:t xml:space="preserve"> [Çalışan Adı Soyadı]  |  Tarih: [GG/AA/YYYY]  |  İmza: </w:t>
      </w:r>
      <w:r>
        <w:rPr>
          <w:rFonts w:ascii="Calibri" w:hAnsi="Calibri"/>
          <w:b/>
        </w:rPr>
        <w:t>_</w:t>
      </w:r>
      <w:r>
        <w:rPr>
          <w:rFonts w:ascii="Calibri" w:hAnsi="Calibri"/>
          <w:b/>
        </w:rPr>
        <w:t>_</w:t>
      </w:r>
      <w:r>
        <w:rPr>
          <w:rFonts w:ascii="Calibri" w:hAnsi="Calibri"/>
          <w:b/>
        </w:rPr>
        <w:t>_</w:t>
      </w:r>
      <w:r>
        <w:rPr>
          <w:rFonts w:ascii="Calibri" w:hAnsi="Calibri"/>
        </w:rPr>
        <w:t>_</w:t>
      </w:r>
    </w:p>
    <w:p>
      <w:pPr>
        <w:pStyle w:val="ListBullet"/>
        <w:spacing w:after="40" w:line="276" w:lineRule="auto"/>
      </w:pPr>
      <w:r>
        <w:rPr>
          <w:rFonts w:ascii="Calibri" w:hAnsi="Calibri"/>
          <w:b/>
        </w:rPr>
        <w:t>Birim Yöneticisi:</w:t>
      </w:r>
      <w:r>
        <w:rPr>
          <w:rFonts w:ascii="Calibri" w:hAnsi="Calibri"/>
        </w:rPr>
        <w:t xml:space="preserve"> [Yönetici Adı Soyadı]  |  Tarih: [GG/AA/YYYY]  |  İmza: </w:t>
      </w:r>
      <w:r>
        <w:rPr>
          <w:rFonts w:ascii="Calibri" w:hAnsi="Calibri"/>
          <w:b/>
        </w:rPr>
        <w:t>_</w:t>
      </w:r>
      <w:r>
        <w:rPr>
          <w:rFonts w:ascii="Calibri" w:hAnsi="Calibri"/>
          <w:b/>
        </w:rPr>
        <w:t>_</w:t>
      </w:r>
      <w:r>
        <w:rPr>
          <w:rFonts w:ascii="Calibri" w:hAnsi="Calibri"/>
          <w:b/>
        </w:rPr>
        <w:t>_</w:t>
      </w:r>
      <w:r>
        <w:rPr>
          <w:rFonts w:ascii="Calibri" w:hAnsi="Calibri"/>
        </w:rPr>
        <w:t>_</w:t>
      </w:r>
    </w:p>
    <w:p>
      <w:pPr>
        <w:pStyle w:val="ListBullet"/>
        <w:spacing w:after="40" w:line="276" w:lineRule="auto"/>
      </w:pPr>
      <w:r>
        <w:rPr>
          <w:rFonts w:ascii="Calibri" w:hAnsi="Calibri"/>
          <w:b/>
        </w:rPr>
        <w:t>İnsan Kaynakları:</w:t>
      </w:r>
      <w:r>
        <w:rPr>
          <w:rFonts w:ascii="Calibri" w:hAnsi="Calibri"/>
        </w:rPr>
        <w:t xml:space="preserve"> [İK Müdürü Adı Soyadı]  |  Tarih: [GG/AA/YYYY]  |  İmza: </w:t>
      </w:r>
      <w:r>
        <w:rPr>
          <w:rFonts w:ascii="Calibri" w:hAnsi="Calibri"/>
          <w:b/>
        </w:rPr>
        <w:t>_</w:t>
      </w:r>
      <w:r>
        <w:rPr>
          <w:rFonts w:ascii="Calibri" w:hAnsi="Calibri"/>
          <w:b/>
        </w:rPr>
        <w:t>_</w:t>
      </w:r>
      <w:r>
        <w:rPr>
          <w:rFonts w:ascii="Calibri" w:hAnsi="Calibri"/>
          <w:b/>
        </w:rPr>
        <w:t>_</w:t>
      </w:r>
      <w:r>
        <w:rPr>
          <w:rFonts w:ascii="Calibri" w:hAnsi="Calibri"/>
        </w:rPr>
        <w:t>_</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