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40" w:after="120"/>
      </w:pPr>
      <w:r>
        <w:rPr>
          <w:rFonts w:ascii="Calibri" w:hAnsi="Calibri"/>
          <w:b/>
          <w:color w:val="0F172A"/>
          <w:sz w:val="36"/>
        </w:rPr>
        <w:t>GİZLİLİK VE SIR SAKLAMA SÖZLEŞMESİ (NDA)</w:t>
      </w:r>
    </w:p>
    <w:p>
      <w:pPr>
        <w:spacing w:after="80" w:line="276" w:lineRule="auto"/>
      </w:pPr>
      <w:r>
        <w:rPr>
          <w:rFonts w:ascii="Calibri" w:hAnsi="Calibri"/>
          <w:b/>
        </w:rPr>
        <w:t>Doküman No:</w:t>
      </w:r>
      <w:r>
        <w:rPr>
          <w:rFonts w:ascii="Calibri" w:hAnsi="Calibri"/>
        </w:rPr>
        <w:t xml:space="preserve"> [SÖZ-İK-004]  |  </w:t>
      </w:r>
      <w:r>
        <w:rPr>
          <w:rFonts w:ascii="Calibri" w:hAnsi="Calibri"/>
          <w:b/>
        </w:rPr>
        <w:t>Yürürlük Tarihi:</w:t>
      </w:r>
      <w:r>
        <w:rPr>
          <w:rFonts w:ascii="Calibri" w:hAnsi="Calibri"/>
        </w:rPr>
        <w:t xml:space="preserve"> [01/01/2026]  |  </w:t>
      </w:r>
      <w:r>
        <w:rPr>
          <w:rFonts w:ascii="Calibri" w:hAnsi="Calibri"/>
          <w:b/>
        </w:rPr>
        <w:t>Revizyon:</w:t>
      </w:r>
      <w:r>
        <w:rPr>
          <w:rFonts w:ascii="Calibri" w:hAnsi="Calibri"/>
        </w:rPr>
        <w:t xml:space="preserve"> [02]</w:t>
      </w:r>
      <w:r>
        <w:rPr>
          <w:rFonts w:ascii="Calibri" w:hAnsi="Calibri"/>
        </w:rPr>
        <w:br/>
      </w:r>
      <w:r>
        <w:rPr>
          <w:rFonts w:ascii="Calibri" w:hAnsi="Calibri"/>
          <w:b/>
        </w:rPr>
        <w:t>Hazırlayan:</w:t>
      </w:r>
      <w:r>
        <w:rPr>
          <w:rFonts w:ascii="Calibri" w:hAnsi="Calibri"/>
        </w:rPr>
        <w:t xml:space="preserve"> [Hukuk Müşavirliği + İK Direktörlüğü]  |  </w:t>
      </w:r>
      <w:r>
        <w:rPr>
          <w:rFonts w:ascii="Calibri" w:hAnsi="Calibri"/>
          <w:b/>
        </w:rPr>
        <w:t>Onaylayan:</w:t>
      </w:r>
      <w:r>
        <w:rPr>
          <w:rFonts w:ascii="Calibri" w:hAnsi="Calibri"/>
        </w:rPr>
        <w:t xml:space="preserve"> [Genel Müdür]  |  </w:t>
      </w:r>
      <w:r>
        <w:rPr>
          <w:rFonts w:ascii="Calibri" w:hAnsi="Calibri"/>
          <w:b/>
        </w:rPr>
        <w:t>Saklama:</w:t>
      </w:r>
      <w:r>
        <w:rPr>
          <w:rFonts w:ascii="Calibri" w:hAnsi="Calibri"/>
        </w:rPr>
        <w:t xml:space="preserve"> Özlük dosyası + 10 yıl (fesih sonrası)</w:t>
      </w:r>
      <w:r>
        <w:rPr>
          <w:rFonts w:ascii="Calibri" w:hAnsi="Calibri"/>
        </w:rPr>
        <w:br/>
      </w:r>
      <w:r>
        <w:rPr>
          <w:rFonts w:ascii="Calibri" w:hAnsi="Calibri"/>
          <w:b/>
        </w:rPr>
        <w:t>Yasal Dayanak:</w:t>
      </w:r>
      <w:r>
        <w:rPr>
          <w:rFonts w:ascii="Calibri" w:hAnsi="Calibri"/>
        </w:rPr>
        <w:t xml:space="preserve"> 6098 s. TBK (Md. 26-27, 179-182, 396, 420, 444-447), 4857 s. İş Kanunu (Md. 22, 25/II-e), 6698 s. KVKK (Md. 12, 18), 5237 s. TCK (Md. 239), 7036 s. Kanun (Md. 3)</w:t>
      </w:r>
    </w:p>
    <w:p>
      <w:pPr>
        <w:spacing w:before="200" w:after="80"/>
      </w:pPr>
      <w:r>
        <w:rPr>
          <w:rFonts w:ascii="Calibri" w:hAnsi="Calibri"/>
          <w:b/>
          <w:color w:val="1E3A8A"/>
          <w:sz w:val="28"/>
        </w:rPr>
        <w:t>1. TARAFLAR</w:t>
      </w:r>
    </w:p>
    <w:p>
      <w:pPr>
        <w:spacing w:after="80" w:line="276" w:lineRule="auto"/>
      </w:pPr>
      <w:r>
        <w:rPr>
          <w:rFonts w:ascii="Calibri" w:hAnsi="Calibri"/>
        </w:rPr>
        <w:t xml:space="preserve">Bir tarafta </w:t>
      </w:r>
      <w:r>
        <w:rPr>
          <w:rFonts w:ascii="Calibri" w:hAnsi="Calibri"/>
          <w:b/>
        </w:rPr>
        <w:t>[ŞİRKETİN TAM TİCARET ÜNVANI A.Ş.]</w:t>
      </w:r>
      <w:r>
        <w:rPr>
          <w:rFonts w:ascii="Calibri" w:hAnsi="Calibri"/>
        </w:rPr>
        <w:t xml:space="preserve"> (Bundan böyle </w:t>
      </w:r>
      <w:r>
        <w:rPr>
          <w:rFonts w:ascii="Calibri" w:hAnsi="Calibri"/>
          <w:b/>
        </w:rPr>
        <w:t>"İŞVEREN"</w:t>
      </w:r>
      <w:r>
        <w:rPr>
          <w:rFonts w:ascii="Calibri" w:hAnsi="Calibri"/>
        </w:rPr>
        <w:t xml:space="preserve"> veya </w:t>
      </w:r>
      <w:r>
        <w:rPr>
          <w:rFonts w:ascii="Calibri" w:hAnsi="Calibri"/>
          <w:b/>
        </w:rPr>
        <w:t>"BİLGİYİ AÇIKLAYAN"</w:t>
      </w:r>
      <w:r>
        <w:rPr>
          <w:rFonts w:ascii="Calibri" w:hAnsi="Calibri"/>
        </w:rPr>
        <w:t xml:space="preserve"> olarak anılacaktır)</w:t>
      </w:r>
      <w:r>
        <w:rPr>
          <w:rFonts w:ascii="Calibri" w:hAnsi="Calibri"/>
        </w:rPr>
        <w:br/>
        <w:t xml:space="preserve">ile diğer tarafta </w:t>
      </w:r>
      <w:r>
        <w:rPr>
          <w:rFonts w:ascii="Calibri" w:hAnsi="Calibri"/>
          <w:b/>
        </w:rPr>
        <w:t>[ÇALIŞANIN ADI SOYADI]</w:t>
      </w:r>
      <w:r>
        <w:rPr>
          <w:rFonts w:ascii="Calibri" w:hAnsi="Calibri"/>
        </w:rPr>
        <w:t xml:space="preserve"> (Bundan böyle </w:t>
      </w:r>
      <w:r>
        <w:rPr>
          <w:rFonts w:ascii="Calibri" w:hAnsi="Calibri"/>
          <w:b/>
        </w:rPr>
        <w:t>"ÇALIŞAN"</w:t>
      </w:r>
      <w:r>
        <w:rPr>
          <w:rFonts w:ascii="Calibri" w:hAnsi="Calibri"/>
        </w:rPr>
        <w:t xml:space="preserve"> veya </w:t>
      </w:r>
      <w:r>
        <w:rPr>
          <w:rFonts w:ascii="Calibri" w:hAnsi="Calibri"/>
          <w:b/>
        </w:rPr>
        <w:t>"BİLGİYİ ALAN"</w:t>
      </w:r>
      <w:r>
        <w:rPr>
          <w:rFonts w:ascii="Calibri" w:hAnsi="Calibri"/>
        </w:rPr>
        <w:t xml:space="preserve"> olarak anılacaktır)</w:t>
      </w:r>
      <w:r>
        <w:rPr>
          <w:rFonts w:ascii="Calibri" w:hAnsi="Calibri"/>
        </w:rPr>
        <w:br/>
        <w:t>arasında işbu Gizlilik Sözleşmesi tanzim edilmiştir.</w:t>
      </w:r>
    </w:p>
    <w:p>
      <w:pPr>
        <w:spacing w:before="200" w:after="80"/>
      </w:pPr>
      <w:r>
        <w:rPr>
          <w:rFonts w:ascii="Calibri" w:hAnsi="Calibri"/>
          <w:b/>
          <w:color w:val="1E3A8A"/>
          <w:sz w:val="28"/>
        </w:rPr>
        <w:t>2. GİZLİ BİLGİNİN TANIMI VE KAPSAMI</w:t>
      </w:r>
    </w:p>
    <w:p>
      <w:pPr>
        <w:spacing w:after="80" w:line="276" w:lineRule="auto"/>
      </w:pPr>
      <w:r>
        <w:rPr>
          <w:rFonts w:ascii="Calibri" w:hAnsi="Calibri"/>
        </w:rPr>
        <w:t>"Gizli Bilgi"; ÇALIŞAN’a görevi sebebiyle sözlü, yazılı, elektronik veya görsel olarak iletilen yahut bizzat vakıf olduğu;</w:t>
        <w:br/>
        <w:t>1. Şirketin tüm ticari stratejileri, müşteri listeleri, tedarikçi anlaşmaları, fiyatlandırma politikaları ve teklifleri,</w:t>
        <w:br/>
        <w:t>2. Yazılım kaynak kodları, veri tabanı yapıları, algoritmalar, teknik çizimler, formüller, patent ve Ar-Ge çalışmaları,</w:t>
        <w:br/>
        <w:t>3. Şirketin mali tabloları, ciro, kar-zarar, bütçe verileri ve çalışan ücret bilgileri,</w:t>
        <w:br/>
        <w:t>4. 6698 sayılı KVKK kapsamında çalışanlara, müşterilere ve paydaşlara ait her türlü kişisel ve özel nitelikli kişisel verileri</w:t>
      </w:r>
      <w:r>
        <w:rPr>
          <w:rFonts w:ascii="Calibri" w:hAnsi="Calibri"/>
        </w:rPr>
        <w:br/>
        <w:t>ifade eder ve sınırlama olmaksızın en geniş anlamda yorumlanır.</w:t>
      </w:r>
    </w:p>
    <w:p>
      <w:pPr>
        <w:spacing w:before="200" w:after="80"/>
      </w:pPr>
      <w:r>
        <w:rPr>
          <w:rFonts w:ascii="Calibri" w:hAnsi="Calibri"/>
          <w:b/>
          <w:color w:val="1E3A8A"/>
          <w:sz w:val="28"/>
        </w:rPr>
        <w:t>3. ÇALIŞANIN YÜKÜMLÜLÜKLERİ</w:t>
      </w:r>
    </w:p>
    <w:p>
      <w:pPr>
        <w:pStyle w:val="ListBullet"/>
        <w:spacing w:after="40" w:line="276" w:lineRule="auto"/>
      </w:pPr>
      <w:r>
        <w:rPr>
          <w:rFonts w:ascii="Calibri" w:hAnsi="Calibri"/>
          <w:b/>
        </w:rPr>
        <w:t>Gizli Tutma Sorumluluğu:</w:t>
      </w:r>
      <w:r>
        <w:rPr>
          <w:rFonts w:ascii="Calibri" w:hAnsi="Calibri"/>
        </w:rPr>
        <w:t xml:space="preserve"> ÇALIŞAN, Gizli Bilgileri büyük bir özen ve sır saklama yükümlülüğü altında koruyacağını, doğrudan veya dolaylı olarak üçüncü şahıslara açıklamayacağını kabul ve taahhüt eder.</w:t>
      </w:r>
    </w:p>
    <w:p>
      <w:pPr>
        <w:pStyle w:val="ListBullet"/>
        <w:spacing w:after="40" w:line="276" w:lineRule="auto"/>
      </w:pPr>
      <w:r>
        <w:rPr>
          <w:rFonts w:ascii="Calibri" w:hAnsi="Calibri"/>
          <w:b/>
        </w:rPr>
        <w:t>Yalnızca İş Amacıyla Kullanım:</w:t>
      </w:r>
      <w:r>
        <w:rPr>
          <w:rFonts w:ascii="Calibri" w:hAnsi="Calibri"/>
        </w:rPr>
        <w:t xml:space="preserve"> Gizli Bilgiler yalnızca işverenin yazılı iş talimatı ve görevin gerektirdiği sınırlar dahilinde kullanılabilir; kişisel menfaat, üçüncü tarafların çıkarı veya yeni kurulacak şirketler lehine kullanılamaz.</w:t>
      </w:r>
    </w:p>
    <w:p>
      <w:pPr>
        <w:pStyle w:val="ListBullet"/>
        <w:spacing w:after="40" w:line="276" w:lineRule="auto"/>
      </w:pPr>
      <w:r>
        <w:rPr>
          <w:rFonts w:ascii="Calibri" w:hAnsi="Calibri"/>
          <w:b/>
        </w:rPr>
        <w:t>Dışarı Çıkarmama Yasağı:</w:t>
      </w:r>
      <w:r>
        <w:rPr>
          <w:rFonts w:ascii="Calibri" w:hAnsi="Calibri"/>
        </w:rPr>
        <w:t xml:space="preserve"> Şirkete ait hiçbir gizli evrak, dijital dosya veya veri tabanı işverenin yazılı onayı olmaksızın şirket dışına, şahsi e-posta hesaplarına veya bulut alanlarına aktarılamaz.</w:t>
      </w:r>
    </w:p>
    <w:p>
      <w:pPr>
        <w:spacing w:before="200" w:after="80"/>
      </w:pPr>
      <w:r>
        <w:rPr>
          <w:rFonts w:ascii="Calibri" w:hAnsi="Calibri"/>
          <w:b/>
          <w:color w:val="1E3A8A"/>
          <w:sz w:val="28"/>
        </w:rPr>
        <w:t>4. İSTİSNALAR</w:t>
      </w:r>
    </w:p>
    <w:p>
      <w:pPr>
        <w:spacing w:after="80" w:line="276" w:lineRule="auto"/>
      </w:pPr>
      <w:r>
        <w:rPr>
          <w:rFonts w:ascii="Calibri" w:hAnsi="Calibri"/>
        </w:rPr>
        <w:t>Aşağıdaki durumlar gizlilik yükümlülüğünün ihlali sayılmaz:</w:t>
        <w:br/>
        <w:t>- Kamuya mal olmuş veya basında yer almış bilgiler,</w:t>
        <w:br/>
        <w:t>- Yetkili mahkeme, savcılık veya resmi kurumların yasal zorunluluk gereği talep ettiği ve usulüne uygun istenen bilgiler (derhal İŞVEREN’e yazılı bilgi verilmesi şartıyla).</w:t>
      </w:r>
    </w:p>
    <w:p>
      <w:pPr>
        <w:spacing w:before="200" w:after="80"/>
      </w:pPr>
      <w:r>
        <w:rPr>
          <w:rFonts w:ascii="Calibri" w:hAnsi="Calibri"/>
          <w:b/>
          <w:color w:val="1E3A8A"/>
          <w:sz w:val="28"/>
        </w:rPr>
        <w:t>5. SÖZLEŞMENİN SÜRESİ</w:t>
      </w:r>
    </w:p>
    <w:p>
      <w:pPr>
        <w:spacing w:after="80" w:line="276" w:lineRule="auto"/>
      </w:pPr>
      <w:r>
        <w:rPr>
          <w:rFonts w:ascii="Calibri" w:hAnsi="Calibri"/>
        </w:rPr>
        <w:t xml:space="preserve">İşbu sözleşme imza tarihinde yürürlüğe girer. İş sözleşmesi herhangi bir nedenle (istifa, fesih, emeklilik vb.) sona erse dahi; işbu sözleşmedeki gizlilik ve sır saklama yükümlülüğü </w:t>
      </w:r>
      <w:r>
        <w:rPr>
          <w:rFonts w:ascii="Calibri" w:hAnsi="Calibri"/>
          <w:b/>
        </w:rPr>
        <w:t>iş akdinin sona ermesinden itibaren 3 (üç) yıl süreyle</w:t>
      </w:r>
      <w:r>
        <w:rPr>
          <w:rFonts w:ascii="Calibri" w:hAnsi="Calibri"/>
        </w:rPr>
        <w:t xml:space="preserve"> aynen geçerliliğini ve bağlayıcılığını korur.</w:t>
      </w:r>
    </w:p>
    <w:p>
      <w:pPr>
        <w:spacing w:before="200" w:after="80"/>
      </w:pPr>
      <w:r>
        <w:rPr>
          <w:rFonts w:ascii="Calibri" w:hAnsi="Calibri"/>
          <w:b/>
          <w:color w:val="1E3A8A"/>
          <w:sz w:val="28"/>
        </w:rPr>
        <w:t>6. İHLALİN HUKUKİ SONUÇLARI VE CEZAİ ŞART</w:t>
      </w:r>
    </w:p>
    <w:p>
      <w:pPr>
        <w:spacing w:after="80" w:line="276" w:lineRule="auto"/>
      </w:pPr>
      <w:r>
        <w:rPr>
          <w:rFonts w:ascii="Calibri" w:hAnsi="Calibri"/>
        </w:rPr>
        <w:t>ÇALIŞAN’ın işbu sözleşme hükümlerini ihlal etmesi halinde;</w:t>
        <w:br/>
        <w:t xml:space="preserve">1. İŞVEREN, 4857 sayılı İş Kanunu'nun 25/II-e maddesi (Doğruluk ve bağlılığa uymayan davranışlar) uyarınca iş sözleşmesini </w:t>
      </w:r>
      <w:r>
        <w:rPr>
          <w:rFonts w:ascii="Calibri" w:hAnsi="Calibri"/>
          <w:b/>
        </w:rPr>
        <w:t>tazminatsız derhal feshetme</w:t>
      </w:r>
      <w:r>
        <w:rPr>
          <w:rFonts w:ascii="Calibri" w:hAnsi="Calibri"/>
        </w:rPr>
        <w:t xml:space="preserve"> hakkına sahiptir.</w:t>
        <w:br/>
        <w:t>2. ÇALIŞAN, ihlal nedeniyle İŞVEREN’in uğradığı doğrudan ve dolaylı tüm maddi-manevi zararları derhal tazmin etmekle yükümlüdür.</w:t>
        <w:br/>
        <w:t>3. Ayrıca ÇALIŞAN, hiçbir ihtara gerek olmaksızın cezai şart olarak son aylık brüt ücretinin [6 (altı)] katı tutarında cezai şart ödemeyi gayrikabili rücu kabul, beyan ve taahhüt eder.</w:t>
      </w:r>
    </w:p>
    <w:p>
      <w:pPr>
        <w:spacing w:before="200" w:after="80"/>
      </w:pPr>
      <w:r>
        <w:rPr>
          <w:rFonts w:ascii="Calibri" w:hAnsi="Calibri"/>
          <w:b/>
          <w:color w:val="1E3A8A"/>
          <w:sz w:val="28"/>
        </w:rPr>
        <w:t>7. İMZA VE YÜRÜRLÜK</w:t>
      </w:r>
    </w:p>
    <w:p>
      <w:pPr>
        <w:spacing w:after="80" w:line="276" w:lineRule="auto"/>
      </w:pPr>
      <w:r>
        <w:rPr>
          <w:rFonts w:ascii="Calibri" w:hAnsi="Calibri"/>
        </w:rPr>
        <w:t>İşbu sözleşme [GG/AA/YYYY] tarihinde iki nüsha olarak tanzim edilmiş ve taraflarca imzalanmıştır.</w:t>
      </w:r>
    </w:p>
    <w:p>
      <w:pPr>
        <w:spacing w:after="80" w:line="276" w:lineRule="auto"/>
      </w:pPr>
      <w:r>
        <w:rPr>
          <w:rFonts w:ascii="Calibri" w:hAnsi="Calibri"/>
          <w:b/>
        </w:rPr>
        <w:t>İŞVEREN / VEKİLİ:</w:t>
      </w:r>
      <w:r>
        <w:rPr>
          <w:rFonts w:ascii="Calibri" w:hAnsi="Calibri"/>
        </w:rPr>
        <w:t xml:space="preserve"> </w:t>
      </w:r>
      <w:r>
        <w:rPr>
          <w:rFonts w:ascii="Calibri" w:hAnsi="Calibri"/>
          <w:b/>
        </w:rPr>
        <w:t>_</w:t>
      </w:r>
      <w:r>
        <w:rPr>
          <w:rFonts w:ascii="Calibri" w:hAnsi="Calibri"/>
          <w:b/>
        </w:rPr>
        <w:t>_</w:t>
      </w:r>
      <w:r>
        <w:rPr>
          <w:rFonts w:ascii="Calibri" w:hAnsi="Calibri"/>
          <w:b/>
        </w:rPr>
        <w:t>_</w:t>
      </w:r>
      <w:r>
        <w:rPr>
          <w:rFonts w:ascii="Calibri" w:hAnsi="Calibri"/>
          <w:i/>
        </w:rPr>
        <w:t xml:space="preserve">  |  ÇALIŞAN: ___</w:t>
      </w:r>
    </w:p>
    <w:p>
      <w:pPr>
        <w:spacing w:before="200" w:after="80"/>
      </w:pPr>
      <w:r>
        <w:rPr>
          <w:rFonts w:ascii="Calibri" w:hAnsi="Calibri"/>
          <w:b/>
          <w:color w:val="1E3A8A"/>
          <w:sz w:val="28"/>
        </w:rPr>
        <w:t>8. KİŞİSEL VERİLERİN KORUNMASINA İLİŞKİN ÖZEL HÜKÜMLER</w:t>
      </w:r>
    </w:p>
    <w:p>
      <w:pPr>
        <w:spacing w:after="80" w:line="276" w:lineRule="auto"/>
      </w:pPr>
      <w:r>
        <w:rPr>
          <w:rFonts w:ascii="Calibri" w:hAnsi="Calibri"/>
          <w:b/>
        </w:rPr>
        <w:t>Yasal Dayanak:</w:t>
      </w:r>
      <w:r>
        <w:rPr>
          <w:rFonts w:ascii="Calibri" w:hAnsi="Calibri"/>
        </w:rPr>
        <w:t xml:space="preserve"> 6698 sayılı Kişisel Verilerin Korunması Kanunu Md. 12 — veri sorumlusu, kişisel verilerin hukuka aykırı olarak işlenmesini ve erişilmesini önlemek, verilerin muhafazasını sağlamak amacıyla </w:t>
      </w:r>
      <w:r>
        <w:rPr>
          <w:rFonts w:ascii="Calibri" w:hAnsi="Calibri"/>
          <w:b/>
        </w:rPr>
        <w:t>uygun güvenlik düzeyini temin etmeye yönelik her türlü teknik ve idari tedbiri</w:t>
      </w:r>
      <w:r>
        <w:rPr>
          <w:rFonts w:ascii="Calibri" w:hAnsi="Calibri"/>
        </w:rPr>
        <w:t xml:space="preserve"> almakla yükümlüdür.</w:t>
      </w:r>
    </w:p>
    <w:p>
      <w:pPr>
        <w:pStyle w:val="ListNumber"/>
        <w:spacing w:after="40" w:line="276" w:lineRule="auto"/>
      </w:pPr>
      <w:r>
        <w:rPr>
          <w:rFonts w:ascii="Calibri" w:hAnsi="Calibri"/>
          <w:b/>
        </w:rPr>
        <w:t>Veri Sorumlusu Yükümlülüğü:</w:t>
      </w:r>
      <w:r>
        <w:rPr>
          <w:rFonts w:ascii="Calibri" w:hAnsi="Calibri"/>
        </w:rPr>
        <w:t xml:space="preserve"> Şirket, çalışan ve müşteri verilerini hukuka uygun amaçla, ölçülü biçimde ve belirli süreyle işler; veri işleme envanteri ve aydınlatma metinlerini güncel tutar.</w:t>
      </w:r>
    </w:p>
    <w:p>
      <w:pPr>
        <w:pStyle w:val="ListNumber"/>
        <w:spacing w:after="40" w:line="276" w:lineRule="auto"/>
      </w:pPr>
      <w:r>
        <w:rPr>
          <w:rFonts w:ascii="Calibri" w:hAnsi="Calibri"/>
          <w:b/>
        </w:rPr>
        <w:t>Çalışanın Yükümlülüğü:</w:t>
      </w:r>
      <w:r>
        <w:rPr>
          <w:rFonts w:ascii="Calibri" w:hAnsi="Calibri"/>
        </w:rPr>
        <w:t xml:space="preserve"> Görevi gereği eriştiği kişisel verileri yalnızca iş amacıyla kullanır; kopyalamaz, kişisel cihaz ve bulut hesaplarına aktarmaz, sesli/görsel kayda almaz, üçüncü kişilerle paylaşmaz.</w:t>
      </w:r>
    </w:p>
    <w:p>
      <w:pPr>
        <w:pStyle w:val="ListNumber"/>
        <w:spacing w:after="40" w:line="276" w:lineRule="auto"/>
      </w:pPr>
      <w:r>
        <w:rPr>
          <w:rFonts w:ascii="Calibri" w:hAnsi="Calibri"/>
          <w:b/>
        </w:rPr>
        <w:t>Özel Nitelikli Veriler:</w:t>
      </w:r>
      <w:r>
        <w:rPr>
          <w:rFonts w:ascii="Calibri" w:hAnsi="Calibri"/>
        </w:rPr>
        <w:t xml:space="preserve"> Sağlık raporu, biyometrik veri, ceza kaydı, din, sendika üyeliği gibi özel nitelikli veriler </w:t>
      </w:r>
      <w:r>
        <w:rPr>
          <w:rFonts w:ascii="Calibri" w:hAnsi="Calibri"/>
          <w:b/>
        </w:rPr>
        <w:t>açık rıza</w:t>
      </w:r>
      <w:r>
        <w:rPr>
          <w:rFonts w:ascii="Calibri" w:hAnsi="Calibri"/>
        </w:rPr>
        <w:t xml:space="preserve"> ve kısıtlı erişimle işlenir; erişim yetkileri yazılı olarak tanımlanır.</w:t>
      </w:r>
    </w:p>
    <w:p>
      <w:pPr>
        <w:pStyle w:val="ListNumber"/>
        <w:spacing w:after="40" w:line="276" w:lineRule="auto"/>
      </w:pPr>
      <w:r>
        <w:rPr>
          <w:rFonts w:ascii="Calibri" w:hAnsi="Calibri"/>
          <w:b/>
        </w:rPr>
        <w:t>Yurt Dışına Aktarım Yasağı:</w:t>
      </w:r>
      <w:r>
        <w:rPr>
          <w:rFonts w:ascii="Calibri" w:hAnsi="Calibri"/>
        </w:rPr>
        <w:t xml:space="preserve"> İŞVERENİN yazılı talimatı ve KVKK'da öngörülen şartlar (Md. 9) sağlanmadan kişisel veriler yurt dışına aktarılamaz.</w:t>
      </w:r>
    </w:p>
    <w:p>
      <w:pPr>
        <w:pStyle w:val="ListNumber"/>
        <w:spacing w:after="40" w:line="276" w:lineRule="auto"/>
      </w:pPr>
      <w:r>
        <w:rPr>
          <w:rFonts w:ascii="Calibri" w:hAnsi="Calibri"/>
          <w:b/>
        </w:rPr>
        <w:t>Veri İhlali Bildirimi:</w:t>
      </w:r>
      <w:r>
        <w:rPr>
          <w:rFonts w:ascii="Calibri" w:hAnsi="Calibri"/>
        </w:rPr>
        <w:t xml:space="preserve"> Çalışan, veri kaybı, sızıntı, yetkisiz erişim, fidye yazılımı veya cihaz kaybı gibi bir olayı öğrendiğinde </w:t>
      </w:r>
      <w:r>
        <w:rPr>
          <w:rFonts w:ascii="Calibri" w:hAnsi="Calibri"/>
          <w:b/>
        </w:rPr>
        <w:t>derhal (en geç 24 saat içinde)</w:t>
      </w:r>
      <w:r>
        <w:rPr>
          <w:rFonts w:ascii="Calibri" w:hAnsi="Calibri"/>
        </w:rPr>
        <w:t xml:space="preserve"> İŞVERENİN Bilgi Güvenliği ve KVKK irtibat kişisine bildirir. İŞVEREN, mevzuat uyarınca ihlali </w:t>
      </w:r>
      <w:r>
        <w:rPr>
          <w:rFonts w:ascii="Calibri" w:hAnsi="Calibri"/>
          <w:b/>
        </w:rPr>
        <w:t>en kısa sürede ve en geç 72 saat içinde</w:t>
      </w:r>
      <w:r>
        <w:rPr>
          <w:rFonts w:ascii="Calibri" w:hAnsi="Calibri"/>
        </w:rPr>
        <w:t xml:space="preserve"> Kişisel Verileri Koruma Kurulu'na ve ilgili kişilere bildirmekle yükümlüdür.</w:t>
      </w:r>
    </w:p>
    <w:p>
      <w:pPr>
        <w:pStyle w:val="ListNumber"/>
        <w:spacing w:after="40" w:line="276" w:lineRule="auto"/>
      </w:pPr>
      <w:r>
        <w:rPr>
          <w:rFonts w:ascii="Calibri" w:hAnsi="Calibri"/>
          <w:b/>
        </w:rPr>
        <w:t>Kayıt Tutma ve İz Kaydı (Log):</w:t>
      </w:r>
      <w:r>
        <w:rPr>
          <w:rFonts w:ascii="Calibri" w:hAnsi="Calibri"/>
        </w:rPr>
        <w:t xml:space="preserve"> Sistemlere erişim kayıtları, kişisel veriye erişen kullanıcıların iz kayıtları tutulur ve mevzuatta öngörülen süre saklanır (açık rıza varsa 2 yıl). Çalışan, kendi sistem erişimlerinin kayıt altına alındığını bilir ve şifresini kimseyle paylaşmaz.</w:t>
      </w:r>
    </w:p>
    <w:p>
      <w:pPr>
        <w:pStyle w:val="ListNumber"/>
        <w:spacing w:after="40" w:line="276" w:lineRule="auto"/>
      </w:pPr>
      <w:r>
        <w:rPr>
          <w:rFonts w:ascii="Calibri" w:hAnsi="Calibri"/>
          <w:b/>
        </w:rPr>
        <w:t>Saklama ve İmha:</w:t>
      </w:r>
      <w:r>
        <w:rPr>
          <w:rFonts w:ascii="Calibri" w:hAnsi="Calibri"/>
        </w:rPr>
        <w:t xml:space="preserve"> Kişisel veriler, işleme amacının gerektirdiği süre ve ilgili mevzuattaki azami süre (ör. özlük dosyası için hizmet akdi + 10 yıl) boyunca saklanır; süre sonunda silinir, yok edilir veya anonim hâle getirilir.</w:t>
      </w:r>
    </w:p>
    <w:p>
      <w:pPr>
        <w:spacing w:before="160" w:after="60"/>
      </w:pPr>
      <w:r>
        <w:rPr>
          <w:rFonts w:ascii="Calibri" w:hAnsi="Calibri"/>
          <w:b/>
          <w:color w:val="475569"/>
          <w:sz w:val="24"/>
        </w:rPr>
        <w:t>8.1 Teknik ve İdari Güvenlik Tedbirleri Matrisi</w:t>
      </w:r>
    </w:p>
    <w:tbl>
      <w:tblPr>
        <w:tblW w:type="auto" w:w="0"/>
        <w:jc w:val="center"/>
        <w:tblLayout w:type="autofit"/>
        <w:tblLook w:firstColumn="1" w:firstRow="1" w:lastColumn="0" w:lastRow="0" w:noHBand="0" w:noVBand="1" w:val="04A0"/>
        <w:tblBorders>
          <w:top w:val="single" w:sz="4" w:space="0" w:color="CBD5E1"/>
          <w:bottom w:val="single" w:sz="4" w:space="0" w:color="CBD5E1"/>
          <w:left w:val="none"/>
          <w:right w:val="none"/>
          <w:insideH w:val="single" w:sz="4" w:space="0" w:color="E2E8F0"/>
          <w:insideV w:val="none"/>
        </w:tblBorders>
      </w:tblPr>
      <w:tblGrid>
        <w:gridCol w:w="2268"/>
        <w:gridCol w:w="2268"/>
        <w:gridCol w:w="2268"/>
        <w:gridCol w:w="2268"/>
      </w:tblGrid>
      <w:tr>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Tedbir</w:t>
            </w:r>
          </w:p>
        </w:tc>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Uygulama</w:t>
            </w:r>
          </w:p>
        </w:tc>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Sorumlu</w:t>
            </w:r>
          </w:p>
        </w:tc>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Denetim</w:t>
            </w:r>
          </w:p>
        </w:tc>
      </w:tr>
      <w:tr>
        <w:tc>
          <w:tcPr>
            <w:tcW w:type="dxa" w:w="2268"/>
            <w:tcMar>
              <w:top w:w="120" w:type="dxa"/>
              <w:bottom w:w="120" w:type="dxa"/>
              <w:left w:w="150" w:type="dxa"/>
              <w:right w:w="150" w:type="dxa"/>
            </w:tcMar>
            <w:shd w:fill="F8FAFC"/>
          </w:tcPr>
          <w:p>
            <w:pPr>
              <w:spacing w:after="40" w:line="252" w:lineRule="auto"/>
            </w:pPr>
            <w:r>
              <w:rPr>
                <w:rFonts w:ascii="Calibri" w:hAnsi="Calibri"/>
                <w:sz w:val="19"/>
              </w:rPr>
              <w:t>Yetki matrisi (en az yetki ilkesi)</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Rol bazlı erişim; ayrılan çalışanın yetkileri derhal kapatılır</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BT</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6 ayda bir</w:t>
            </w:r>
          </w:p>
        </w:tc>
      </w:tr>
      <w:tr>
        <w:tc>
          <w:tcPr>
            <w:tcW w:type="dxa" w:w="2268"/>
            <w:tcMar>
              <w:top w:w="120" w:type="dxa"/>
              <w:bottom w:w="120" w:type="dxa"/>
              <w:left w:w="150" w:type="dxa"/>
              <w:right w:w="150" w:type="dxa"/>
            </w:tcMar>
          </w:tcPr>
          <w:p>
            <w:pPr>
              <w:spacing w:after="40" w:line="252" w:lineRule="auto"/>
            </w:pPr>
            <w:r>
              <w:rPr>
                <w:rFonts w:ascii="Calibri" w:hAnsi="Calibri"/>
                <w:sz w:val="19"/>
              </w:rPr>
              <w:t>Disk ve e-posta şifreleme</w:t>
            </w:r>
          </w:p>
        </w:tc>
        <w:tc>
          <w:tcPr>
            <w:tcW w:type="dxa" w:w="2268"/>
            <w:tcMar>
              <w:top w:w="120" w:type="dxa"/>
              <w:bottom w:w="120" w:type="dxa"/>
              <w:left w:w="150" w:type="dxa"/>
              <w:right w:w="150" w:type="dxa"/>
            </w:tcMar>
          </w:tcPr>
          <w:p>
            <w:pPr>
              <w:spacing w:after="40" w:line="252" w:lineRule="auto"/>
            </w:pPr>
            <w:r>
              <w:rPr>
                <w:rFonts w:ascii="Calibri" w:hAnsi="Calibri"/>
                <w:sz w:val="19"/>
              </w:rPr>
              <w:t>Taşınabilir cihazlarda tam disk şifreleme, kurumsal e-posta zorunluluğu</w:t>
            </w:r>
          </w:p>
        </w:tc>
        <w:tc>
          <w:tcPr>
            <w:tcW w:type="dxa" w:w="2268"/>
            <w:tcMar>
              <w:top w:w="120" w:type="dxa"/>
              <w:bottom w:w="120" w:type="dxa"/>
              <w:left w:w="150" w:type="dxa"/>
              <w:right w:w="150" w:type="dxa"/>
            </w:tcMar>
          </w:tcPr>
          <w:p>
            <w:pPr>
              <w:spacing w:after="40" w:line="252" w:lineRule="auto"/>
            </w:pPr>
            <w:r>
              <w:rPr>
                <w:rFonts w:ascii="Calibri" w:hAnsi="Calibri"/>
                <w:sz w:val="19"/>
              </w:rPr>
              <w:t>BT</w:t>
            </w:r>
          </w:p>
        </w:tc>
        <w:tc>
          <w:tcPr>
            <w:tcW w:type="dxa" w:w="2268"/>
            <w:tcMar>
              <w:top w:w="120" w:type="dxa"/>
              <w:bottom w:w="120" w:type="dxa"/>
              <w:left w:w="150" w:type="dxa"/>
              <w:right w:w="150" w:type="dxa"/>
            </w:tcMar>
          </w:tcPr>
          <w:p>
            <w:pPr>
              <w:spacing w:after="40" w:line="252" w:lineRule="auto"/>
            </w:pPr>
            <w:r>
              <w:rPr>
                <w:rFonts w:ascii="Calibri" w:hAnsi="Calibri"/>
                <w:sz w:val="19"/>
              </w:rPr>
              <w:t>Yılda bir</w:t>
            </w:r>
          </w:p>
        </w:tc>
      </w:tr>
      <w:tr>
        <w:tc>
          <w:tcPr>
            <w:tcW w:type="dxa" w:w="2268"/>
            <w:tcMar>
              <w:top w:w="120" w:type="dxa"/>
              <w:bottom w:w="120" w:type="dxa"/>
              <w:left w:w="150" w:type="dxa"/>
              <w:right w:w="150" w:type="dxa"/>
            </w:tcMar>
            <w:shd w:fill="F8FAFC"/>
          </w:tcPr>
          <w:p>
            <w:pPr>
              <w:spacing w:after="40" w:line="252" w:lineRule="auto"/>
            </w:pPr>
            <w:r>
              <w:rPr>
                <w:rFonts w:ascii="Calibri" w:hAnsi="Calibri"/>
                <w:sz w:val="19"/>
              </w:rPr>
              <w:t>USB / harici medya kontrolü</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Takılıp çıkarılabilir medya kısıtı ve kayıt takibi</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BT</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Sürekli</w:t>
            </w:r>
          </w:p>
        </w:tc>
      </w:tr>
      <w:tr>
        <w:tc>
          <w:tcPr>
            <w:tcW w:type="dxa" w:w="2268"/>
            <w:tcMar>
              <w:top w:w="120" w:type="dxa"/>
              <w:bottom w:w="120" w:type="dxa"/>
              <w:left w:w="150" w:type="dxa"/>
              <w:right w:w="150" w:type="dxa"/>
            </w:tcMar>
          </w:tcPr>
          <w:p>
            <w:pPr>
              <w:spacing w:after="40" w:line="252" w:lineRule="auto"/>
            </w:pPr>
            <w:r>
              <w:rPr>
                <w:rFonts w:ascii="Calibri" w:hAnsi="Calibri"/>
                <w:sz w:val="19"/>
              </w:rPr>
              <w:t>VPN ve çok faktörlü doğrulama</w:t>
            </w:r>
          </w:p>
        </w:tc>
        <w:tc>
          <w:tcPr>
            <w:tcW w:type="dxa" w:w="2268"/>
            <w:tcMar>
              <w:top w:w="120" w:type="dxa"/>
              <w:bottom w:w="120" w:type="dxa"/>
              <w:left w:w="150" w:type="dxa"/>
              <w:right w:w="150" w:type="dxa"/>
            </w:tcMar>
          </w:tcPr>
          <w:p>
            <w:pPr>
              <w:spacing w:after="40" w:line="252" w:lineRule="auto"/>
            </w:pPr>
            <w:r>
              <w:rPr>
                <w:rFonts w:ascii="Calibri" w:hAnsi="Calibri"/>
                <w:sz w:val="19"/>
              </w:rPr>
              <w:t>Uzaktan erişimde MFA zorunlu</w:t>
            </w:r>
          </w:p>
        </w:tc>
        <w:tc>
          <w:tcPr>
            <w:tcW w:type="dxa" w:w="2268"/>
            <w:tcMar>
              <w:top w:w="120" w:type="dxa"/>
              <w:bottom w:w="120" w:type="dxa"/>
              <w:left w:w="150" w:type="dxa"/>
              <w:right w:w="150" w:type="dxa"/>
            </w:tcMar>
          </w:tcPr>
          <w:p>
            <w:pPr>
              <w:spacing w:after="40" w:line="252" w:lineRule="auto"/>
            </w:pPr>
            <w:r>
              <w:rPr>
                <w:rFonts w:ascii="Calibri" w:hAnsi="Calibri"/>
                <w:sz w:val="19"/>
              </w:rPr>
              <w:t>BT</w:t>
            </w:r>
          </w:p>
        </w:tc>
        <w:tc>
          <w:tcPr>
            <w:tcW w:type="dxa" w:w="2268"/>
            <w:tcMar>
              <w:top w:w="120" w:type="dxa"/>
              <w:bottom w:w="120" w:type="dxa"/>
              <w:left w:w="150" w:type="dxa"/>
              <w:right w:w="150" w:type="dxa"/>
            </w:tcMar>
          </w:tcPr>
          <w:p>
            <w:pPr>
              <w:spacing w:after="40" w:line="252" w:lineRule="auto"/>
            </w:pPr>
            <w:r>
              <w:rPr>
                <w:rFonts w:ascii="Calibri" w:hAnsi="Calibri"/>
                <w:sz w:val="19"/>
              </w:rPr>
              <w:t>Sürekli</w:t>
            </w:r>
          </w:p>
        </w:tc>
      </w:tr>
      <w:tr>
        <w:tc>
          <w:tcPr>
            <w:tcW w:type="dxa" w:w="2268"/>
            <w:tcMar>
              <w:top w:w="120" w:type="dxa"/>
              <w:bottom w:w="120" w:type="dxa"/>
              <w:left w:w="150" w:type="dxa"/>
              <w:right w:w="150" w:type="dxa"/>
            </w:tcMar>
            <w:shd w:fill="F8FAFC"/>
          </w:tcPr>
          <w:p>
            <w:pPr>
              <w:spacing w:after="40" w:line="252" w:lineRule="auto"/>
            </w:pPr>
            <w:r>
              <w:rPr>
                <w:rFonts w:ascii="Calibri" w:hAnsi="Calibri"/>
                <w:sz w:val="19"/>
              </w:rPr>
              <w:t>KVKK aydınlatma ve eğitim</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İşe girişte ve yılda bir yenileme</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İK</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Yılda bir</w:t>
            </w:r>
          </w:p>
        </w:tc>
      </w:tr>
      <w:tr>
        <w:tc>
          <w:tcPr>
            <w:tcW w:type="dxa" w:w="2268"/>
            <w:tcMar>
              <w:top w:w="120" w:type="dxa"/>
              <w:bottom w:w="120" w:type="dxa"/>
              <w:left w:w="150" w:type="dxa"/>
              <w:right w:w="150" w:type="dxa"/>
            </w:tcMar>
          </w:tcPr>
          <w:p>
            <w:pPr>
              <w:spacing w:after="40" w:line="252" w:lineRule="auto"/>
            </w:pPr>
            <w:r>
              <w:rPr>
                <w:rFonts w:ascii="Calibri" w:hAnsi="Calibri"/>
                <w:sz w:val="19"/>
              </w:rPr>
              <w:t>Veri işleme envanteri ve imha politikası</w:t>
            </w:r>
          </w:p>
        </w:tc>
        <w:tc>
          <w:tcPr>
            <w:tcW w:type="dxa" w:w="2268"/>
            <w:tcMar>
              <w:top w:w="120" w:type="dxa"/>
              <w:bottom w:w="120" w:type="dxa"/>
              <w:left w:w="150" w:type="dxa"/>
              <w:right w:w="150" w:type="dxa"/>
            </w:tcMar>
          </w:tcPr>
          <w:p>
            <w:pPr>
              <w:spacing w:after="40" w:line="252" w:lineRule="auto"/>
            </w:pPr>
            <w:r>
              <w:rPr>
                <w:rFonts w:ascii="Calibri" w:hAnsi="Calibri"/>
                <w:sz w:val="19"/>
              </w:rPr>
              <w:t>Yıllık güncelleme ve imha tutanağı</w:t>
            </w:r>
          </w:p>
        </w:tc>
        <w:tc>
          <w:tcPr>
            <w:tcW w:type="dxa" w:w="2268"/>
            <w:tcMar>
              <w:top w:w="120" w:type="dxa"/>
              <w:bottom w:w="120" w:type="dxa"/>
              <w:left w:w="150" w:type="dxa"/>
              <w:right w:w="150" w:type="dxa"/>
            </w:tcMar>
          </w:tcPr>
          <w:p>
            <w:pPr>
              <w:spacing w:after="40" w:line="252" w:lineRule="auto"/>
            </w:pPr>
            <w:r>
              <w:rPr>
                <w:rFonts w:ascii="Calibri" w:hAnsi="Calibri"/>
                <w:sz w:val="19"/>
              </w:rPr>
              <w:t>KVKK İrtibat Kişisi</w:t>
            </w:r>
          </w:p>
        </w:tc>
        <w:tc>
          <w:tcPr>
            <w:tcW w:type="dxa" w:w="2268"/>
            <w:tcMar>
              <w:top w:w="120" w:type="dxa"/>
              <w:bottom w:w="120" w:type="dxa"/>
              <w:left w:w="150" w:type="dxa"/>
              <w:right w:w="150" w:type="dxa"/>
            </w:tcMar>
          </w:tcPr>
          <w:p>
            <w:pPr>
              <w:spacing w:after="40" w:line="252" w:lineRule="auto"/>
            </w:pPr>
            <w:r>
              <w:rPr>
                <w:rFonts w:ascii="Calibri" w:hAnsi="Calibri"/>
                <w:sz w:val="19"/>
              </w:rPr>
              <w:t>Yılda bir</w:t>
            </w:r>
          </w:p>
        </w:tc>
      </w:tr>
      <w:tr>
        <w:tc>
          <w:tcPr>
            <w:tcW w:type="dxa" w:w="2268"/>
            <w:tcMar>
              <w:top w:w="120" w:type="dxa"/>
              <w:bottom w:w="120" w:type="dxa"/>
              <w:left w:w="150" w:type="dxa"/>
              <w:right w:w="150" w:type="dxa"/>
            </w:tcMar>
            <w:shd w:fill="F8FAFC"/>
          </w:tcPr>
          <w:p>
            <w:pPr>
              <w:spacing w:after="40" w:line="252" w:lineRule="auto"/>
            </w:pPr>
            <w:r>
              <w:rPr>
                <w:rFonts w:ascii="Calibri" w:hAnsi="Calibri"/>
                <w:sz w:val="19"/>
              </w:rPr>
              <w:t>Kamera kayıtları bilgilendirmesi</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Ortak alanlarda levha ve aydınlatma metni</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İdari İşler</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Yılda bir</w:t>
            </w:r>
          </w:p>
        </w:tc>
      </w:tr>
    </w:tbl>
    <w:p>
      <w:pPr>
        <w:spacing w:after="120"/>
      </w:pPr>
    </w:p>
    <w:p>
      <w:pPr>
        <w:spacing w:before="80" w:after="120"/>
        <w:ind w:left="576"/>
      </w:pPr>
      <w:r>
        <w:rPr>
          <w:rFonts w:ascii="Calibri" w:hAnsi="Calibri"/>
          <w:i/>
          <w:color w:val="64748B"/>
          <w:sz w:val="21"/>
        </w:rPr>
        <w:t>Ceza Notu: 6698 sayılı Kanun Md. 18 uyarınca veri güvenliği yükümlülüğünün ihlali hâlinde idari para cezası uygulanır. Ayrıca verilerin hukuka aykırı olarak kaydedilmesi, aktarılması veya ele geçirilmesi 5237 sayılı TCK hükümleri kapsamında suç oluşturabilir.</w:t>
      </w:r>
    </w:p>
    <w:p>
      <w:pPr>
        <w:spacing w:before="200" w:after="80"/>
      </w:pPr>
      <w:r>
        <w:rPr>
          <w:rFonts w:ascii="Calibri" w:hAnsi="Calibri"/>
          <w:b/>
          <w:color w:val="1E3A8A"/>
          <w:sz w:val="28"/>
        </w:rPr>
        <w:t>9. CEZAİ ŞART VE HUKUKİ SINIRLARI</w:t>
      </w:r>
    </w:p>
    <w:p>
      <w:pPr>
        <w:spacing w:after="80" w:line="276" w:lineRule="auto"/>
      </w:pPr>
      <w:r>
        <w:rPr>
          <w:rFonts w:ascii="Calibri" w:hAnsi="Calibri"/>
          <w:b/>
        </w:rPr>
        <w:t>Yasal Dayanak:</w:t>
      </w:r>
      <w:r>
        <w:rPr>
          <w:rFonts w:ascii="Calibri" w:hAnsi="Calibri"/>
        </w:rPr>
        <w:t xml:space="preserve"> 6098 sayılı TBK Md. 179-182 — taraflar, borcun ifa edilmemesi hâlinde cezai şart ödenmesini kararlaştırabilir. Ancak hâkim, </w:t>
      </w:r>
      <w:r>
        <w:rPr>
          <w:rFonts w:ascii="Calibri" w:hAnsi="Calibri"/>
          <w:b/>
        </w:rPr>
        <w:t>aşırı gördüğü cezai şartı</w:t>
      </w:r>
      <w:r>
        <w:rPr>
          <w:rFonts w:ascii="Calibri" w:hAnsi="Calibri"/>
        </w:rPr>
        <w:t xml:space="preserve"> tenkis edebilir (Md. 182/3).</w:t>
      </w:r>
    </w:p>
    <w:tbl>
      <w:tblPr>
        <w:tblW w:type="auto" w:w="0"/>
        <w:jc w:val="center"/>
        <w:tblLayout w:type="autofit"/>
        <w:tblLook w:firstColumn="1" w:firstRow="1" w:lastColumn="0" w:lastRow="0" w:noHBand="0" w:noVBand="1" w:val="04A0"/>
        <w:tblBorders>
          <w:top w:val="single" w:sz="4" w:space="0" w:color="CBD5E1"/>
          <w:bottom w:val="single" w:sz="4" w:space="0" w:color="CBD5E1"/>
          <w:left w:val="none"/>
          <w:right w:val="none"/>
          <w:insideH w:val="single" w:sz="4" w:space="0" w:color="E2E8F0"/>
          <w:insideV w:val="none"/>
        </w:tblBorders>
      </w:tblPr>
      <w:tblGrid>
        <w:gridCol w:w="2268"/>
        <w:gridCol w:w="2268"/>
        <w:gridCol w:w="2268"/>
        <w:gridCol w:w="2268"/>
      </w:tblGrid>
      <w:tr>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Unsur</w:t>
            </w:r>
          </w:p>
        </w:tc>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Sözleşmede Kararlaştırılan</w:t>
            </w:r>
          </w:p>
        </w:tc>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Değerlendirme Kriteri</w:t>
            </w:r>
          </w:p>
        </w:tc>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Hukuki Risk</w:t>
            </w:r>
          </w:p>
        </w:tc>
      </w:tr>
      <w:tr>
        <w:tc>
          <w:tcPr>
            <w:tcW w:type="dxa" w:w="2268"/>
            <w:tcMar>
              <w:top w:w="120" w:type="dxa"/>
              <w:bottom w:w="120" w:type="dxa"/>
              <w:left w:w="150" w:type="dxa"/>
              <w:right w:w="150" w:type="dxa"/>
            </w:tcMar>
            <w:shd w:fill="F8FAFC"/>
          </w:tcPr>
          <w:p>
            <w:pPr>
              <w:spacing w:after="40" w:line="252" w:lineRule="auto"/>
            </w:pPr>
            <w:r>
              <w:rPr>
                <w:rFonts w:ascii="Calibri" w:hAnsi="Calibri"/>
                <w:sz w:val="19"/>
              </w:rPr>
              <w:t>Cezai şart tutarı</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 xml:space="preserve">Son aylık </w:t>
            </w:r>
            <w:r>
              <w:rPr>
                <w:rFonts w:ascii="Calibri" w:hAnsi="Calibri"/>
                <w:b/>
                <w:sz w:val="19"/>
              </w:rPr>
              <w:t>brüt ücretin 6 katı</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İhlalin ağırlığı, işçinin kıdemi ve ücreti, işverenin zararı</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Hâkim tenkis edebilir (TBK Md. 182)</w:t>
            </w:r>
          </w:p>
        </w:tc>
      </w:tr>
      <w:tr>
        <w:tc>
          <w:tcPr>
            <w:tcW w:type="dxa" w:w="2268"/>
            <w:tcMar>
              <w:top w:w="120" w:type="dxa"/>
              <w:bottom w:w="120" w:type="dxa"/>
              <w:left w:w="150" w:type="dxa"/>
              <w:right w:w="150" w:type="dxa"/>
            </w:tcMar>
          </w:tcPr>
          <w:p>
            <w:pPr>
              <w:spacing w:after="40" w:line="252" w:lineRule="auto"/>
            </w:pPr>
            <w:r>
              <w:rPr>
                <w:rFonts w:ascii="Calibri" w:hAnsi="Calibri"/>
                <w:sz w:val="19"/>
              </w:rPr>
              <w:t>Zarar ilişkisi</w:t>
            </w:r>
          </w:p>
        </w:tc>
        <w:tc>
          <w:tcPr>
            <w:tcW w:type="dxa" w:w="2268"/>
            <w:tcMar>
              <w:top w:w="120" w:type="dxa"/>
              <w:bottom w:w="120" w:type="dxa"/>
              <w:left w:w="150" w:type="dxa"/>
              <w:right w:w="150" w:type="dxa"/>
            </w:tcMar>
          </w:tcPr>
          <w:p>
            <w:pPr>
              <w:spacing w:after="40" w:line="252" w:lineRule="auto"/>
            </w:pPr>
            <w:r>
              <w:rPr>
                <w:rFonts w:ascii="Calibri" w:hAnsi="Calibri"/>
                <w:sz w:val="19"/>
              </w:rPr>
              <w:t>Cezai şart, zarardan bağımsız talep edilir</w:t>
            </w:r>
          </w:p>
        </w:tc>
        <w:tc>
          <w:tcPr>
            <w:tcW w:type="dxa" w:w="2268"/>
            <w:tcMar>
              <w:top w:w="120" w:type="dxa"/>
              <w:bottom w:w="120" w:type="dxa"/>
              <w:left w:w="150" w:type="dxa"/>
              <w:right w:w="150" w:type="dxa"/>
            </w:tcMar>
          </w:tcPr>
          <w:p>
            <w:pPr>
              <w:spacing w:after="40" w:line="252" w:lineRule="auto"/>
            </w:pPr>
            <w:r>
              <w:rPr>
                <w:rFonts w:ascii="Calibri" w:hAnsi="Calibri"/>
                <w:sz w:val="19"/>
              </w:rPr>
              <w:t>Gerçek zararın ispatı ayrıca gerekir</w:t>
            </w:r>
          </w:p>
        </w:tc>
        <w:tc>
          <w:tcPr>
            <w:tcW w:type="dxa" w:w="2268"/>
            <w:tcMar>
              <w:top w:w="120" w:type="dxa"/>
              <w:bottom w:w="120" w:type="dxa"/>
              <w:left w:w="150" w:type="dxa"/>
              <w:right w:w="150" w:type="dxa"/>
            </w:tcMar>
          </w:tcPr>
          <w:p>
            <w:pPr>
              <w:spacing w:after="40" w:line="252" w:lineRule="auto"/>
            </w:pPr>
            <w:r>
              <w:rPr>
                <w:rFonts w:ascii="Calibri" w:hAnsi="Calibri"/>
                <w:sz w:val="19"/>
              </w:rPr>
              <w:t>Zarar ispatı istenirse ayrı dava</w:t>
            </w:r>
          </w:p>
        </w:tc>
      </w:tr>
      <w:tr>
        <w:tc>
          <w:tcPr>
            <w:tcW w:type="dxa" w:w="2268"/>
            <w:tcMar>
              <w:top w:w="120" w:type="dxa"/>
              <w:bottom w:w="120" w:type="dxa"/>
              <w:left w:w="150" w:type="dxa"/>
              <w:right w:w="150" w:type="dxa"/>
            </w:tcMar>
            <w:shd w:fill="F8FAFC"/>
          </w:tcPr>
          <w:p>
            <w:pPr>
              <w:spacing w:after="40" w:line="252" w:lineRule="auto"/>
            </w:pPr>
            <w:r>
              <w:rPr>
                <w:rFonts w:ascii="Calibri" w:hAnsi="Calibri"/>
                <w:sz w:val="19"/>
              </w:rPr>
              <w:t>Aşkın zarar</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Cezai şartı aşan zarar ayrıca talep edilir</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Zararın belgelenmesi zorunlu</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TBK Md. 180-181</w:t>
            </w:r>
          </w:p>
        </w:tc>
      </w:tr>
      <w:tr>
        <w:tc>
          <w:tcPr>
            <w:tcW w:type="dxa" w:w="2268"/>
            <w:tcMar>
              <w:top w:w="120" w:type="dxa"/>
              <w:bottom w:w="120" w:type="dxa"/>
              <w:left w:w="150" w:type="dxa"/>
              <w:right w:w="150" w:type="dxa"/>
            </w:tcMar>
          </w:tcPr>
          <w:p>
            <w:pPr>
              <w:spacing w:after="40" w:line="252" w:lineRule="auto"/>
            </w:pPr>
            <w:r>
              <w:rPr>
                <w:rFonts w:ascii="Calibri" w:hAnsi="Calibri"/>
                <w:sz w:val="19"/>
              </w:rPr>
              <w:t>Ödeme talebi</w:t>
            </w:r>
          </w:p>
        </w:tc>
        <w:tc>
          <w:tcPr>
            <w:tcW w:type="dxa" w:w="2268"/>
            <w:tcMar>
              <w:top w:w="120" w:type="dxa"/>
              <w:bottom w:w="120" w:type="dxa"/>
              <w:left w:w="150" w:type="dxa"/>
              <w:right w:w="150" w:type="dxa"/>
            </w:tcMar>
          </w:tcPr>
          <w:p>
            <w:pPr>
              <w:spacing w:after="40" w:line="252" w:lineRule="auto"/>
            </w:pPr>
            <w:r>
              <w:rPr>
                <w:rFonts w:ascii="Calibri" w:hAnsi="Calibri"/>
                <w:sz w:val="19"/>
              </w:rPr>
              <w:t>İhtarname ile 7 gün içinde ödeme</w:t>
            </w:r>
          </w:p>
        </w:tc>
        <w:tc>
          <w:tcPr>
            <w:tcW w:type="dxa" w:w="2268"/>
            <w:tcMar>
              <w:top w:w="120" w:type="dxa"/>
              <w:bottom w:w="120" w:type="dxa"/>
              <w:left w:w="150" w:type="dxa"/>
              <w:right w:w="150" w:type="dxa"/>
            </w:tcMar>
          </w:tcPr>
          <w:p>
            <w:pPr>
              <w:spacing w:after="40" w:line="252" w:lineRule="auto"/>
            </w:pPr>
            <w:r>
              <w:rPr>
                <w:rFonts w:ascii="Calibri" w:hAnsi="Calibri"/>
                <w:sz w:val="19"/>
              </w:rPr>
              <w:t>Ödeme yapılmazsa icra takibi</w:t>
            </w:r>
          </w:p>
        </w:tc>
        <w:tc>
          <w:tcPr>
            <w:tcW w:type="dxa" w:w="2268"/>
            <w:tcMar>
              <w:top w:w="120" w:type="dxa"/>
              <w:bottom w:w="120" w:type="dxa"/>
              <w:left w:w="150" w:type="dxa"/>
              <w:right w:w="150" w:type="dxa"/>
            </w:tcMar>
          </w:tcPr>
          <w:p>
            <w:pPr>
              <w:spacing w:after="40" w:line="252" w:lineRule="auto"/>
            </w:pPr>
            <w:r>
              <w:rPr>
                <w:rFonts w:ascii="Calibri" w:hAnsi="Calibri"/>
                <w:sz w:val="19"/>
              </w:rPr>
              <w:t>İcra masrafları işçiye ait</w:t>
            </w:r>
          </w:p>
        </w:tc>
      </w:tr>
      <w:tr>
        <w:tc>
          <w:tcPr>
            <w:tcW w:type="dxa" w:w="2268"/>
            <w:tcMar>
              <w:top w:w="120" w:type="dxa"/>
              <w:bottom w:w="120" w:type="dxa"/>
              <w:left w:w="150" w:type="dxa"/>
              <w:right w:w="150" w:type="dxa"/>
            </w:tcMar>
            <w:shd w:fill="F8FAFC"/>
          </w:tcPr>
          <w:p>
            <w:pPr>
              <w:spacing w:after="40" w:line="252" w:lineRule="auto"/>
            </w:pPr>
            <w:r>
              <w:rPr>
                <w:rFonts w:ascii="Calibri" w:hAnsi="Calibri"/>
                <w:sz w:val="19"/>
              </w:rPr>
              <w:t>İndirim savunması</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İşçi, cezai şartın fahiş olduğunu ileri sürebilir</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Yargısal denetim</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Tutarın makul tutulması önerilir</w:t>
            </w:r>
          </w:p>
        </w:tc>
      </w:tr>
    </w:tbl>
    <w:p>
      <w:pPr>
        <w:spacing w:after="120"/>
      </w:pPr>
    </w:p>
    <w:p>
      <w:pPr>
        <w:spacing w:before="80" w:after="120"/>
        <w:ind w:left="576"/>
      </w:pPr>
      <w:r>
        <w:rPr>
          <w:rFonts w:ascii="Calibri" w:hAnsi="Calibri"/>
          <w:i/>
          <w:color w:val="64748B"/>
          <w:sz w:val="21"/>
        </w:rPr>
        <w:t>Uygulama Önerisi: Cezai şart, ihlalin türüne göre kademeli belirlenmeli (ör. gizli bilginin kopyalanması 6 kat, yetkisiz açıklama 3 kat) ve mutlaka işverenin uğradığı zararla orantılı olmalıdır. Aksi hâlde mahkemece indirilme riski yüksektir.</w:t>
      </w:r>
    </w:p>
    <w:p>
      <w:pPr>
        <w:spacing w:before="200" w:after="80"/>
      </w:pPr>
      <w:r>
        <w:rPr>
          <w:rFonts w:ascii="Calibri" w:hAnsi="Calibri"/>
          <w:b/>
          <w:color w:val="1E3A8A"/>
          <w:sz w:val="28"/>
        </w:rPr>
        <w:t>10. REKABET YASAĞI VE SINIRLARI</w:t>
      </w:r>
    </w:p>
    <w:p>
      <w:pPr>
        <w:spacing w:after="80" w:line="276" w:lineRule="auto"/>
      </w:pPr>
      <w:r>
        <w:rPr>
          <w:rFonts w:ascii="Calibri" w:hAnsi="Calibri"/>
          <w:b/>
        </w:rPr>
        <w:t>Yasal Dayanak:</w:t>
      </w:r>
      <w:r>
        <w:rPr>
          <w:rFonts w:ascii="Calibri" w:hAnsi="Calibri"/>
        </w:rPr>
        <w:t xml:space="preserve"> 6098 s. TBK Md. 444-447 — rekabet yasağı ancak </w:t>
      </w:r>
      <w:r>
        <w:rPr>
          <w:rFonts w:ascii="Calibri" w:hAnsi="Calibri"/>
          <w:b/>
        </w:rPr>
        <w:t>yazılı</w:t>
      </w:r>
      <w:r>
        <w:rPr>
          <w:rFonts w:ascii="Calibri" w:hAnsi="Calibri"/>
        </w:rPr>
        <w:t xml:space="preserve"> olarak kararlaştırılabilir ve </w:t>
      </w:r>
      <w:r>
        <w:rPr>
          <w:rFonts w:ascii="Calibri" w:hAnsi="Calibri"/>
          <w:b/>
        </w:rPr>
        <w:t>yer, zaman ve işlerin türü</w:t>
      </w:r>
      <w:r>
        <w:rPr>
          <w:rFonts w:ascii="Calibri" w:hAnsi="Calibri"/>
        </w:rPr>
        <w:t xml:space="preserve"> bakımından hakkaniyete uygun sınırlarla bağlayıcıdır. Aksi hâlde yasak hükümsüzdür.</w:t>
      </w:r>
    </w:p>
    <w:tbl>
      <w:tblPr>
        <w:tblW w:type="auto" w:w="0"/>
        <w:jc w:val="center"/>
        <w:tblLayout w:type="autofit"/>
        <w:tblLook w:firstColumn="1" w:firstRow="1" w:lastColumn="0" w:lastRow="0" w:noHBand="0" w:noVBand="1" w:val="04A0"/>
        <w:tblBorders>
          <w:top w:val="single" w:sz="4" w:space="0" w:color="CBD5E1"/>
          <w:bottom w:val="single" w:sz="4" w:space="0" w:color="CBD5E1"/>
          <w:left w:val="none"/>
          <w:right w:val="none"/>
          <w:insideH w:val="single" w:sz="4" w:space="0" w:color="E2E8F0"/>
          <w:insideV w:val="none"/>
        </w:tblBorders>
      </w:tblPr>
      <w:tblGrid>
        <w:gridCol w:w="2268"/>
        <w:gridCol w:w="2268"/>
        <w:gridCol w:w="2268"/>
        <w:gridCol w:w="2268"/>
      </w:tblGrid>
      <w:tr>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Sınırlama Unsuru</w:t>
            </w:r>
          </w:p>
        </w:tc>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Bu Sözleşmede</w:t>
            </w:r>
          </w:p>
        </w:tc>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Yasal Ölçüt</w:t>
            </w:r>
          </w:p>
        </w:tc>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Değerlendirme</w:t>
            </w:r>
          </w:p>
        </w:tc>
      </w:tr>
      <w:tr>
        <w:tc>
          <w:tcPr>
            <w:tcW w:type="dxa" w:w="2268"/>
            <w:tcMar>
              <w:top w:w="120" w:type="dxa"/>
              <w:bottom w:w="120" w:type="dxa"/>
              <w:left w:w="150" w:type="dxa"/>
              <w:right w:w="150" w:type="dxa"/>
            </w:tcMar>
            <w:shd w:fill="F8FAFC"/>
          </w:tcPr>
          <w:p>
            <w:pPr>
              <w:spacing w:after="40" w:line="252" w:lineRule="auto"/>
            </w:pPr>
            <w:r>
              <w:rPr>
                <w:rFonts w:ascii="Calibri" w:hAnsi="Calibri"/>
                <w:b/>
                <w:sz w:val="19"/>
              </w:rPr>
              <w:t>Yer</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[Türkiye geneli / İstanbul ve çevre iller]</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İşverenin faaliyet alanı</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Aşırı genişlik hâlinde hükümsüz kalabilir</w:t>
            </w:r>
          </w:p>
        </w:tc>
      </w:tr>
      <w:tr>
        <w:tc>
          <w:tcPr>
            <w:tcW w:type="dxa" w:w="2268"/>
            <w:tcMar>
              <w:top w:w="120" w:type="dxa"/>
              <w:bottom w:w="120" w:type="dxa"/>
              <w:left w:w="150" w:type="dxa"/>
              <w:right w:w="150" w:type="dxa"/>
            </w:tcMar>
          </w:tcPr>
          <w:p>
            <w:pPr>
              <w:spacing w:after="40" w:line="252" w:lineRule="auto"/>
            </w:pPr>
            <w:r>
              <w:rPr>
                <w:rFonts w:ascii="Calibri" w:hAnsi="Calibri"/>
                <w:b/>
                <w:sz w:val="19"/>
              </w:rPr>
              <w:t>Zaman</w:t>
            </w:r>
          </w:p>
        </w:tc>
        <w:tc>
          <w:tcPr>
            <w:tcW w:type="dxa" w:w="2268"/>
            <w:tcMar>
              <w:top w:w="120" w:type="dxa"/>
              <w:bottom w:w="120" w:type="dxa"/>
              <w:left w:w="150" w:type="dxa"/>
              <w:right w:w="150" w:type="dxa"/>
            </w:tcMar>
          </w:tcPr>
          <w:p>
            <w:pPr>
              <w:spacing w:after="40" w:line="252" w:lineRule="auto"/>
            </w:pPr>
            <w:r>
              <w:rPr>
                <w:rFonts w:ascii="Calibri" w:hAnsi="Calibri"/>
                <w:sz w:val="19"/>
              </w:rPr>
              <w:t xml:space="preserve">İş akdinin sona ermesinden itibaren </w:t>
            </w:r>
            <w:r>
              <w:rPr>
                <w:rFonts w:ascii="Calibri" w:hAnsi="Calibri"/>
                <w:b/>
                <w:sz w:val="19"/>
              </w:rPr>
              <w:t>en çok 2 yıl</w:t>
            </w:r>
          </w:p>
        </w:tc>
        <w:tc>
          <w:tcPr>
            <w:tcW w:type="dxa" w:w="2268"/>
            <w:tcMar>
              <w:top w:w="120" w:type="dxa"/>
              <w:bottom w:w="120" w:type="dxa"/>
              <w:left w:w="150" w:type="dxa"/>
              <w:right w:w="150" w:type="dxa"/>
            </w:tcMar>
          </w:tcPr>
          <w:p>
            <w:pPr>
              <w:spacing w:after="40" w:line="252" w:lineRule="auto"/>
            </w:pPr>
            <w:r>
              <w:rPr>
                <w:rFonts w:ascii="Calibri" w:hAnsi="Calibri"/>
                <w:sz w:val="19"/>
              </w:rPr>
              <w:t>TBK Md. 445</w:t>
            </w:r>
          </w:p>
        </w:tc>
        <w:tc>
          <w:tcPr>
            <w:tcW w:type="dxa" w:w="2268"/>
            <w:tcMar>
              <w:top w:w="120" w:type="dxa"/>
              <w:bottom w:w="120" w:type="dxa"/>
              <w:left w:w="150" w:type="dxa"/>
              <w:right w:w="150" w:type="dxa"/>
            </w:tcMar>
          </w:tcPr>
          <w:p>
            <w:pPr>
              <w:spacing w:after="40" w:line="252" w:lineRule="auto"/>
            </w:pPr>
            <w:r>
              <w:rPr>
                <w:rFonts w:ascii="Calibri" w:hAnsi="Calibri"/>
                <w:sz w:val="19"/>
              </w:rPr>
              <w:t>2 yılı aşan süreler bağlayıcı değildir</w:t>
            </w:r>
          </w:p>
        </w:tc>
      </w:tr>
      <w:tr>
        <w:tc>
          <w:tcPr>
            <w:tcW w:type="dxa" w:w="2268"/>
            <w:tcMar>
              <w:top w:w="120" w:type="dxa"/>
              <w:bottom w:w="120" w:type="dxa"/>
              <w:left w:w="150" w:type="dxa"/>
              <w:right w:w="150" w:type="dxa"/>
            </w:tcMar>
            <w:shd w:fill="F8FAFC"/>
          </w:tcPr>
          <w:p>
            <w:pPr>
              <w:spacing w:after="40" w:line="252" w:lineRule="auto"/>
            </w:pPr>
            <w:r>
              <w:rPr>
                <w:rFonts w:ascii="Calibri" w:hAnsi="Calibri"/>
                <w:b/>
                <w:sz w:val="19"/>
              </w:rPr>
              <w:t>İşlerin türü</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[Sektörel faaliyet alanı]</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İşverenin korunması gereken menfaati</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İşçinin geçimi ile dengelenir</w:t>
            </w:r>
          </w:p>
        </w:tc>
      </w:tr>
      <w:tr>
        <w:tc>
          <w:tcPr>
            <w:tcW w:type="dxa" w:w="2268"/>
            <w:tcMar>
              <w:top w:w="120" w:type="dxa"/>
              <w:bottom w:w="120" w:type="dxa"/>
              <w:left w:w="150" w:type="dxa"/>
              <w:right w:w="150" w:type="dxa"/>
            </w:tcMar>
          </w:tcPr>
          <w:p>
            <w:pPr>
              <w:spacing w:after="40" w:line="252" w:lineRule="auto"/>
            </w:pPr>
            <w:r>
              <w:rPr>
                <w:rFonts w:ascii="Calibri" w:hAnsi="Calibri"/>
                <w:b/>
                <w:sz w:val="19"/>
              </w:rPr>
              <w:t>Karşılık</w:t>
            </w:r>
          </w:p>
        </w:tc>
        <w:tc>
          <w:tcPr>
            <w:tcW w:type="dxa" w:w="2268"/>
            <w:tcMar>
              <w:top w:w="120" w:type="dxa"/>
              <w:bottom w:w="120" w:type="dxa"/>
              <w:left w:w="150" w:type="dxa"/>
              <w:right w:w="150" w:type="dxa"/>
            </w:tcMar>
          </w:tcPr>
          <w:p>
            <w:pPr>
              <w:spacing w:after="40" w:line="252" w:lineRule="auto"/>
            </w:pPr>
            <w:r>
              <w:rPr>
                <w:rFonts w:ascii="Calibri" w:hAnsi="Calibri"/>
                <w:sz w:val="19"/>
              </w:rPr>
              <w:t>[Kıdem tazminatına ek menfaat / rekabet tazminatı]</w:t>
            </w:r>
          </w:p>
        </w:tc>
        <w:tc>
          <w:tcPr>
            <w:tcW w:type="dxa" w:w="2268"/>
            <w:tcMar>
              <w:top w:w="120" w:type="dxa"/>
              <w:bottom w:w="120" w:type="dxa"/>
              <w:left w:w="150" w:type="dxa"/>
              <w:right w:w="150" w:type="dxa"/>
            </w:tcMar>
          </w:tcPr>
          <w:p>
            <w:pPr>
              <w:spacing w:after="40" w:line="252" w:lineRule="auto"/>
            </w:pPr>
            <w:r>
              <w:rPr>
                <w:rFonts w:ascii="Calibri" w:hAnsi="Calibri"/>
                <w:sz w:val="19"/>
              </w:rPr>
              <w:t>Yargısal içtihat</w:t>
            </w:r>
          </w:p>
        </w:tc>
        <w:tc>
          <w:tcPr>
            <w:tcW w:type="dxa" w:w="2268"/>
            <w:tcMar>
              <w:top w:w="120" w:type="dxa"/>
              <w:bottom w:w="120" w:type="dxa"/>
              <w:left w:w="150" w:type="dxa"/>
              <w:right w:w="150" w:type="dxa"/>
            </w:tcMar>
          </w:tcPr>
          <w:p>
            <w:pPr>
              <w:spacing w:after="40" w:line="252" w:lineRule="auto"/>
            </w:pPr>
            <w:r>
              <w:rPr>
                <w:rFonts w:ascii="Calibri" w:hAnsi="Calibri"/>
                <w:sz w:val="19"/>
              </w:rPr>
              <w:t>Karşılık ödenmesi yasağın geçerliliğini güçlendirir</w:t>
            </w:r>
          </w:p>
        </w:tc>
      </w:tr>
    </w:tbl>
    <w:p>
      <w:pPr>
        <w:spacing w:after="120"/>
      </w:pPr>
    </w:p>
    <w:p>
      <w:pPr>
        <w:pStyle w:val="ListBullet"/>
        <w:spacing w:after="40" w:line="276" w:lineRule="auto"/>
      </w:pPr>
      <w:r>
        <w:rPr>
          <w:rFonts w:ascii="Calibri" w:hAnsi="Calibri"/>
        </w:rPr>
        <w:t xml:space="preserve">Rekabet yasağı, </w:t>
      </w:r>
      <w:r>
        <w:rPr>
          <w:rFonts w:ascii="Calibri" w:hAnsi="Calibri"/>
          <w:b/>
        </w:rPr>
        <w:t>ahlaka aykırı veya hakkaniyete aykırı</w:t>
      </w:r>
      <w:r>
        <w:rPr>
          <w:rFonts w:ascii="Calibri" w:hAnsi="Calibri"/>
        </w:rPr>
        <w:t xml:space="preserve"> şekilde işçinin ekonomik varlığını tehlikeye düşürecek biçimde kararlaştırılamaz (TBK Md. 445).</w:t>
      </w:r>
    </w:p>
    <w:p>
      <w:pPr>
        <w:pStyle w:val="ListBullet"/>
        <w:spacing w:after="40" w:line="276" w:lineRule="auto"/>
      </w:pPr>
      <w:r>
        <w:rPr>
          <w:rFonts w:ascii="Calibri" w:hAnsi="Calibri"/>
        </w:rPr>
        <w:t xml:space="preserve">İşveren, yasağa aykırı davranış hâlinde </w:t>
      </w:r>
      <w:r>
        <w:rPr>
          <w:rFonts w:ascii="Calibri" w:hAnsi="Calibri"/>
          <w:b/>
        </w:rPr>
        <w:t>cezai şart, tazminat ve yasağın kaldırılması</w:t>
      </w:r>
      <w:r>
        <w:rPr>
          <w:rFonts w:ascii="Calibri" w:hAnsi="Calibri"/>
        </w:rPr>
        <w:t xml:space="preserve"> talep edebilir (TBK Md. 446-447).</w:t>
      </w:r>
    </w:p>
    <w:p>
      <w:pPr>
        <w:pStyle w:val="ListBullet"/>
        <w:spacing w:after="40" w:line="276" w:lineRule="auto"/>
      </w:pPr>
      <w:r>
        <w:rPr>
          <w:rFonts w:ascii="Calibri" w:hAnsi="Calibri"/>
        </w:rPr>
        <w:t>İşverenin haklı olmayan feshi veya işçinin haklı feshi hâlinde rekabet yasağı ortadan kalkar (TBK Md. 447).</w:t>
      </w:r>
    </w:p>
    <w:p>
      <w:pPr>
        <w:pStyle w:val="ListBullet"/>
        <w:spacing w:after="40" w:line="276" w:lineRule="auto"/>
      </w:pPr>
      <w:r>
        <w:rPr>
          <w:rFonts w:ascii="Calibri" w:hAnsi="Calibri"/>
        </w:rPr>
        <w:t xml:space="preserve">Rekabet yasağı, gizlilik yükümlülüğünden </w:t>
      </w:r>
      <w:r>
        <w:rPr>
          <w:rFonts w:ascii="Calibri" w:hAnsi="Calibri"/>
          <w:b/>
        </w:rPr>
        <w:t>bağımsızdır</w:t>
      </w:r>
      <w:r>
        <w:rPr>
          <w:rFonts w:ascii="Calibri" w:hAnsi="Calibri"/>
        </w:rPr>
        <w:t>: gizlilik süresi bitse dahi sözleşmedeki rekabet yasağı süresi boyunca yükümlülük devam eder.</w:t>
      </w:r>
    </w:p>
    <w:p>
      <w:pPr>
        <w:spacing w:before="200" w:after="80"/>
      </w:pPr>
      <w:r>
        <w:rPr>
          <w:rFonts w:ascii="Calibri" w:hAnsi="Calibri"/>
          <w:b/>
          <w:color w:val="1E3A8A"/>
          <w:sz w:val="28"/>
        </w:rPr>
        <w:t>11. İHLAL HALLERİ VE YAPTIRIM MATRİSİ</w:t>
      </w:r>
    </w:p>
    <w:tbl>
      <w:tblPr>
        <w:tblW w:type="auto" w:w="0"/>
        <w:jc w:val="center"/>
        <w:tblLayout w:type="autofit"/>
        <w:tblLook w:firstColumn="1" w:firstRow="1" w:lastColumn="0" w:lastRow="0" w:noHBand="0" w:noVBand="1" w:val="04A0"/>
        <w:tblBorders>
          <w:top w:val="single" w:sz="4" w:space="0" w:color="CBD5E1"/>
          <w:bottom w:val="single" w:sz="4" w:space="0" w:color="CBD5E1"/>
          <w:left w:val="none"/>
          <w:right w:val="none"/>
          <w:insideH w:val="single" w:sz="4" w:space="0" w:color="E2E8F0"/>
          <w:insideV w:val="none"/>
        </w:tblBorders>
      </w:tblPr>
      <w:tblGrid>
        <w:gridCol w:w="2268"/>
        <w:gridCol w:w="2268"/>
        <w:gridCol w:w="2268"/>
        <w:gridCol w:w="2268"/>
      </w:tblGrid>
      <w:tr>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İhlal Fiili</w:t>
            </w:r>
          </w:p>
        </w:tc>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Disiplin Sonucu</w:t>
            </w:r>
          </w:p>
        </w:tc>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Talep Edilebilir Yaptırım</w:t>
            </w:r>
          </w:p>
        </w:tc>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Dayanak</w:t>
            </w:r>
          </w:p>
        </w:tc>
      </w:tr>
      <w:tr>
        <w:tc>
          <w:tcPr>
            <w:tcW w:type="dxa" w:w="2268"/>
            <w:tcMar>
              <w:top w:w="120" w:type="dxa"/>
              <w:bottom w:w="120" w:type="dxa"/>
              <w:left w:w="150" w:type="dxa"/>
              <w:right w:w="150" w:type="dxa"/>
            </w:tcMar>
            <w:shd w:fill="F8FAFC"/>
          </w:tcPr>
          <w:p>
            <w:pPr>
              <w:spacing w:after="40" w:line="252" w:lineRule="auto"/>
            </w:pPr>
            <w:r>
              <w:rPr>
                <w:rFonts w:ascii="Calibri" w:hAnsi="Calibri"/>
                <w:sz w:val="19"/>
              </w:rPr>
              <w:t>Gizli bilginin üçüncü kişiyle paylaşılması</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Haklı nedenle derhal fesih</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Cezai şart + maddi/manevi tazminat</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4857 Md. 25/II-e; TBK Md. 179</w:t>
            </w:r>
          </w:p>
        </w:tc>
      </w:tr>
      <w:tr>
        <w:tc>
          <w:tcPr>
            <w:tcW w:type="dxa" w:w="2268"/>
            <w:tcMar>
              <w:top w:w="120" w:type="dxa"/>
              <w:bottom w:w="120" w:type="dxa"/>
              <w:left w:w="150" w:type="dxa"/>
              <w:right w:w="150" w:type="dxa"/>
            </w:tcMar>
          </w:tcPr>
          <w:p>
            <w:pPr>
              <w:spacing w:after="40" w:line="252" w:lineRule="auto"/>
            </w:pPr>
            <w:r>
              <w:rPr>
                <w:rFonts w:ascii="Calibri" w:hAnsi="Calibri"/>
                <w:sz w:val="19"/>
              </w:rPr>
              <w:t>Kaynak kodun kişisel cihaza kopyalanması</w:t>
            </w:r>
          </w:p>
        </w:tc>
        <w:tc>
          <w:tcPr>
            <w:tcW w:type="dxa" w:w="2268"/>
            <w:tcMar>
              <w:top w:w="120" w:type="dxa"/>
              <w:bottom w:w="120" w:type="dxa"/>
              <w:left w:w="150" w:type="dxa"/>
              <w:right w:w="150" w:type="dxa"/>
            </w:tcMar>
          </w:tcPr>
          <w:p>
            <w:pPr>
              <w:spacing w:after="40" w:line="252" w:lineRule="auto"/>
            </w:pPr>
            <w:r>
              <w:rPr>
                <w:rFonts w:ascii="Calibri" w:hAnsi="Calibri"/>
                <w:sz w:val="19"/>
              </w:rPr>
              <w:t>Haklı nedenle derhal fesih</w:t>
            </w:r>
          </w:p>
        </w:tc>
        <w:tc>
          <w:tcPr>
            <w:tcW w:type="dxa" w:w="2268"/>
            <w:tcMar>
              <w:top w:w="120" w:type="dxa"/>
              <w:bottom w:w="120" w:type="dxa"/>
              <w:left w:w="150" w:type="dxa"/>
              <w:right w:w="150" w:type="dxa"/>
            </w:tcMar>
          </w:tcPr>
          <w:p>
            <w:pPr>
              <w:spacing w:after="40" w:line="252" w:lineRule="auto"/>
            </w:pPr>
            <w:r>
              <w:rPr>
                <w:rFonts w:ascii="Calibri" w:hAnsi="Calibri"/>
                <w:sz w:val="19"/>
              </w:rPr>
              <w:t>Cezai şart + zarar tazminatı</w:t>
            </w:r>
          </w:p>
        </w:tc>
        <w:tc>
          <w:tcPr>
            <w:tcW w:type="dxa" w:w="2268"/>
            <w:tcMar>
              <w:top w:w="120" w:type="dxa"/>
              <w:bottom w:w="120" w:type="dxa"/>
              <w:left w:w="150" w:type="dxa"/>
              <w:right w:w="150" w:type="dxa"/>
            </w:tcMar>
          </w:tcPr>
          <w:p>
            <w:pPr>
              <w:spacing w:after="40" w:line="252" w:lineRule="auto"/>
            </w:pPr>
            <w:r>
              <w:rPr>
                <w:rFonts w:ascii="Calibri" w:hAnsi="Calibri"/>
                <w:sz w:val="19"/>
              </w:rPr>
              <w:t>4857 Md. 25/II-e; TCK Md. 239</w:t>
            </w:r>
          </w:p>
        </w:tc>
      </w:tr>
      <w:tr>
        <w:tc>
          <w:tcPr>
            <w:tcW w:type="dxa" w:w="2268"/>
            <w:tcMar>
              <w:top w:w="120" w:type="dxa"/>
              <w:bottom w:w="120" w:type="dxa"/>
              <w:left w:w="150" w:type="dxa"/>
              <w:right w:w="150" w:type="dxa"/>
            </w:tcMar>
            <w:shd w:fill="F8FAFC"/>
          </w:tcPr>
          <w:p>
            <w:pPr>
              <w:spacing w:after="40" w:line="252" w:lineRule="auto"/>
            </w:pPr>
            <w:r>
              <w:rPr>
                <w:rFonts w:ascii="Calibri" w:hAnsi="Calibri"/>
                <w:sz w:val="19"/>
              </w:rPr>
              <w:t>Müşteri listesinin rakip şirkete verilmesi</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Fesih + suç duyurusu</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Cezai şart + rekabet yasağı ihlali</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TCK Md. 239; TBK Md. 446</w:t>
            </w:r>
          </w:p>
        </w:tc>
      </w:tr>
      <w:tr>
        <w:tc>
          <w:tcPr>
            <w:tcW w:type="dxa" w:w="2268"/>
            <w:tcMar>
              <w:top w:w="120" w:type="dxa"/>
              <w:bottom w:w="120" w:type="dxa"/>
              <w:left w:w="150" w:type="dxa"/>
              <w:right w:w="150" w:type="dxa"/>
            </w:tcMar>
          </w:tcPr>
          <w:p>
            <w:pPr>
              <w:spacing w:after="40" w:line="252" w:lineRule="auto"/>
            </w:pPr>
            <w:r>
              <w:rPr>
                <w:rFonts w:ascii="Calibri" w:hAnsi="Calibri"/>
                <w:sz w:val="19"/>
              </w:rPr>
              <w:t>Kişisel verilerin yetkisiz aktarılması</w:t>
            </w:r>
          </w:p>
        </w:tc>
        <w:tc>
          <w:tcPr>
            <w:tcW w:type="dxa" w:w="2268"/>
            <w:tcMar>
              <w:top w:w="120" w:type="dxa"/>
              <w:bottom w:w="120" w:type="dxa"/>
              <w:left w:w="150" w:type="dxa"/>
              <w:right w:w="150" w:type="dxa"/>
            </w:tcMar>
          </w:tcPr>
          <w:p>
            <w:pPr>
              <w:spacing w:after="40" w:line="252" w:lineRule="auto"/>
            </w:pPr>
            <w:r>
              <w:rPr>
                <w:rFonts w:ascii="Calibri" w:hAnsi="Calibri"/>
                <w:sz w:val="19"/>
              </w:rPr>
              <w:t>Fesih + suç duyurusu</w:t>
            </w:r>
          </w:p>
        </w:tc>
        <w:tc>
          <w:tcPr>
            <w:tcW w:type="dxa" w:w="2268"/>
            <w:tcMar>
              <w:top w:w="120" w:type="dxa"/>
              <w:bottom w:w="120" w:type="dxa"/>
              <w:left w:w="150" w:type="dxa"/>
              <w:right w:w="150" w:type="dxa"/>
            </w:tcMar>
          </w:tcPr>
          <w:p>
            <w:pPr>
              <w:spacing w:after="40" w:line="252" w:lineRule="auto"/>
            </w:pPr>
            <w:r>
              <w:rPr>
                <w:rFonts w:ascii="Calibri" w:hAnsi="Calibri"/>
                <w:sz w:val="19"/>
              </w:rPr>
              <w:t>KVKK idari para cezası + tazminat</w:t>
            </w:r>
          </w:p>
        </w:tc>
        <w:tc>
          <w:tcPr>
            <w:tcW w:type="dxa" w:w="2268"/>
            <w:tcMar>
              <w:top w:w="120" w:type="dxa"/>
              <w:bottom w:w="120" w:type="dxa"/>
              <w:left w:w="150" w:type="dxa"/>
              <w:right w:w="150" w:type="dxa"/>
            </w:tcMar>
          </w:tcPr>
          <w:p>
            <w:pPr>
              <w:spacing w:after="40" w:line="252" w:lineRule="auto"/>
            </w:pPr>
            <w:r>
              <w:rPr>
                <w:rFonts w:ascii="Calibri" w:hAnsi="Calibri"/>
                <w:sz w:val="19"/>
              </w:rPr>
              <w:t>6698 Md. 12, 18; TCK Md. 136-138</w:t>
            </w:r>
          </w:p>
        </w:tc>
      </w:tr>
      <w:tr>
        <w:tc>
          <w:tcPr>
            <w:tcW w:type="dxa" w:w="2268"/>
            <w:tcMar>
              <w:top w:w="120" w:type="dxa"/>
              <w:bottom w:w="120" w:type="dxa"/>
              <w:left w:w="150" w:type="dxa"/>
              <w:right w:w="150" w:type="dxa"/>
            </w:tcMar>
            <w:shd w:fill="F8FAFC"/>
          </w:tcPr>
          <w:p>
            <w:pPr>
              <w:spacing w:after="40" w:line="252" w:lineRule="auto"/>
            </w:pPr>
            <w:r>
              <w:rPr>
                <w:rFonts w:ascii="Calibri" w:hAnsi="Calibri"/>
                <w:sz w:val="19"/>
              </w:rPr>
              <w:t>Sosyal medyada şirket içi bilgi paylaşımı</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Uyarı / kınama / fesih</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Tazminat</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4857 Md. 25/II-e</w:t>
            </w:r>
          </w:p>
        </w:tc>
      </w:tr>
      <w:tr>
        <w:tc>
          <w:tcPr>
            <w:tcW w:type="dxa" w:w="2268"/>
            <w:tcMar>
              <w:top w:w="120" w:type="dxa"/>
              <w:bottom w:w="120" w:type="dxa"/>
              <w:left w:w="150" w:type="dxa"/>
              <w:right w:w="150" w:type="dxa"/>
            </w:tcMar>
          </w:tcPr>
          <w:p>
            <w:pPr>
              <w:spacing w:after="40" w:line="252" w:lineRule="auto"/>
            </w:pPr>
            <w:r>
              <w:rPr>
                <w:rFonts w:ascii="Calibri" w:hAnsi="Calibri"/>
                <w:sz w:val="19"/>
              </w:rPr>
              <w:t>Cihaz, dosya veya anahtarın iade edilmemesi</w:t>
            </w:r>
          </w:p>
        </w:tc>
        <w:tc>
          <w:tcPr>
            <w:tcW w:type="dxa" w:w="2268"/>
            <w:tcMar>
              <w:top w:w="120" w:type="dxa"/>
              <w:bottom w:w="120" w:type="dxa"/>
              <w:left w:w="150" w:type="dxa"/>
              <w:right w:w="150" w:type="dxa"/>
            </w:tcMar>
          </w:tcPr>
          <w:p>
            <w:pPr>
              <w:spacing w:after="40" w:line="252" w:lineRule="auto"/>
            </w:pPr>
            <w:r>
              <w:rPr>
                <w:rFonts w:ascii="Calibri" w:hAnsi="Calibri"/>
                <w:sz w:val="19"/>
              </w:rPr>
              <w:t>İhtar + yasal takip</w:t>
            </w:r>
          </w:p>
        </w:tc>
        <w:tc>
          <w:tcPr>
            <w:tcW w:type="dxa" w:w="2268"/>
            <w:tcMar>
              <w:top w:w="120" w:type="dxa"/>
              <w:bottom w:w="120" w:type="dxa"/>
              <w:left w:w="150" w:type="dxa"/>
              <w:right w:w="150" w:type="dxa"/>
            </w:tcMar>
          </w:tcPr>
          <w:p>
            <w:pPr>
              <w:spacing w:after="40" w:line="252" w:lineRule="auto"/>
            </w:pPr>
            <w:r>
              <w:rPr>
                <w:rFonts w:ascii="Calibri" w:hAnsi="Calibri"/>
                <w:sz w:val="19"/>
              </w:rPr>
              <w:t>Zimmet bedeli + gecikme faizi</w:t>
            </w:r>
          </w:p>
        </w:tc>
        <w:tc>
          <w:tcPr>
            <w:tcW w:type="dxa" w:w="2268"/>
            <w:tcMar>
              <w:top w:w="120" w:type="dxa"/>
              <w:bottom w:w="120" w:type="dxa"/>
              <w:left w:w="150" w:type="dxa"/>
              <w:right w:w="150" w:type="dxa"/>
            </w:tcMar>
          </w:tcPr>
          <w:p>
            <w:pPr>
              <w:spacing w:after="40" w:line="252" w:lineRule="auto"/>
            </w:pPr>
            <w:r>
              <w:rPr>
                <w:rFonts w:ascii="Calibri" w:hAnsi="Calibri"/>
                <w:sz w:val="19"/>
              </w:rPr>
              <w:t>TBK Md. 396; 4857 Md. 38</w:t>
            </w:r>
          </w:p>
        </w:tc>
      </w:tr>
      <w:tr>
        <w:tc>
          <w:tcPr>
            <w:tcW w:type="dxa" w:w="2268"/>
            <w:tcMar>
              <w:top w:w="120" w:type="dxa"/>
              <w:bottom w:w="120" w:type="dxa"/>
              <w:left w:w="150" w:type="dxa"/>
              <w:right w:w="150" w:type="dxa"/>
            </w:tcMar>
            <w:shd w:fill="F8FAFC"/>
          </w:tcPr>
          <w:p>
            <w:pPr>
              <w:spacing w:after="40" w:line="252" w:lineRule="auto"/>
            </w:pPr>
            <w:r>
              <w:rPr>
                <w:rFonts w:ascii="Calibri" w:hAnsi="Calibri"/>
                <w:sz w:val="19"/>
              </w:rPr>
              <w:t>Yükümlülük süresinden sonra sır açıklaması</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Yasal takip</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Tazminat</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TBK Md. 49, 396</w:t>
            </w:r>
          </w:p>
        </w:tc>
      </w:tr>
    </w:tbl>
    <w:p>
      <w:pPr>
        <w:spacing w:after="120"/>
      </w:pPr>
    </w:p>
    <w:p>
      <w:pPr>
        <w:spacing w:before="80" w:after="120"/>
        <w:ind w:left="576"/>
      </w:pPr>
      <w:r>
        <w:rPr>
          <w:rFonts w:ascii="Calibri" w:hAnsi="Calibri"/>
          <w:i/>
          <w:color w:val="64748B"/>
          <w:sz w:val="21"/>
        </w:rPr>
        <w:t>Usul Notu: Haklı nedenle fesih, işverenin fiili öğrendiği günden itibaren 6 iş günü içinde kullanılmalıdır (4857 Md. 26); sürenin geçirilmesi feshi haksız hâle getirir.</w:t>
      </w:r>
    </w:p>
    <w:p>
      <w:pPr>
        <w:spacing w:before="200" w:after="80"/>
      </w:pPr>
      <w:r>
        <w:rPr>
          <w:rFonts w:ascii="Calibri" w:hAnsi="Calibri"/>
          <w:b/>
          <w:color w:val="1E3A8A"/>
          <w:sz w:val="28"/>
        </w:rPr>
        <w:t>12. İADE, TASFİYE VE BEYAN YÜKÜMLÜLÜKLERİ</w:t>
      </w:r>
    </w:p>
    <w:p>
      <w:pPr>
        <w:pStyle w:val="ListNumber"/>
        <w:spacing w:after="40" w:line="276" w:lineRule="auto"/>
      </w:pPr>
      <w:r>
        <w:rPr>
          <w:rFonts w:ascii="Calibri" w:hAnsi="Calibri"/>
          <w:b/>
        </w:rPr>
        <w:t>Fiziksel Belge İadesi:</w:t>
      </w:r>
      <w:r>
        <w:rPr>
          <w:rFonts w:ascii="Calibri" w:hAnsi="Calibri"/>
        </w:rPr>
        <w:t xml:space="preserve"> Çalışan, şirkete ait tüm basılı belge, sözleşme, müşteri dosyası, katalog ve numuneleri iş akdinin sona ermesinden itibaren </w:t>
      </w:r>
      <w:r>
        <w:rPr>
          <w:rFonts w:ascii="Calibri" w:hAnsi="Calibri"/>
          <w:b/>
        </w:rPr>
        <w:t>3 iş günü</w:t>
      </w:r>
      <w:r>
        <w:rPr>
          <w:rFonts w:ascii="Calibri" w:hAnsi="Calibri"/>
        </w:rPr>
        <w:t xml:space="preserve"> içinde eksiksiz iade eder.</w:t>
      </w:r>
    </w:p>
    <w:p>
      <w:pPr>
        <w:pStyle w:val="ListNumber"/>
        <w:spacing w:after="40" w:line="276" w:lineRule="auto"/>
      </w:pPr>
      <w:r>
        <w:rPr>
          <w:rFonts w:ascii="Calibri" w:hAnsi="Calibri"/>
          <w:b/>
        </w:rPr>
        <w:t>Dijital Tasfiye Beyanı:</w:t>
      </w:r>
      <w:r>
        <w:rPr>
          <w:rFonts w:ascii="Calibri" w:hAnsi="Calibri"/>
        </w:rPr>
        <w:t xml:space="preserve"> Kurumsal e-posta içeriği, bulut hesapları, yerel ve harici diskteki şirket verileri kopyalanmadan silinir; aşağıdaki beyan bu amaçla imzalanır.</w:t>
      </w:r>
    </w:p>
    <w:p>
      <w:pPr>
        <w:pStyle w:val="ListNumber"/>
        <w:spacing w:after="40" w:line="276" w:lineRule="auto"/>
      </w:pPr>
      <w:r>
        <w:rPr>
          <w:rFonts w:ascii="Calibri" w:hAnsi="Calibri"/>
          <w:b/>
        </w:rPr>
        <w:t>Erişim Kapatma:</w:t>
      </w:r>
      <w:r>
        <w:rPr>
          <w:rFonts w:ascii="Calibri" w:hAnsi="Calibri"/>
        </w:rPr>
        <w:t xml:space="preserve"> Şirket, ayrılış günü mesai bitiminde tüm sistem erişimlerini ve yetkileri kapatır.</w:t>
      </w:r>
    </w:p>
    <w:p>
      <w:pPr>
        <w:pStyle w:val="ListNumber"/>
        <w:spacing w:after="40" w:line="276" w:lineRule="auto"/>
      </w:pPr>
      <w:r>
        <w:rPr>
          <w:rFonts w:ascii="Calibri" w:hAnsi="Calibri"/>
          <w:b/>
        </w:rPr>
        <w:t>Uyumsuzluk Hâli:</w:t>
      </w:r>
      <w:r>
        <w:rPr>
          <w:rFonts w:ascii="Calibri" w:hAnsi="Calibri"/>
        </w:rPr>
        <w:t xml:space="preserve"> İade edilen verinin bütünlüğünde eksiklik veya manipülasyon tespiti hâlinde çalışan hakkında yasal yollara başvurulur.</w:t>
      </w:r>
    </w:p>
    <w:p>
      <w:pPr>
        <w:spacing w:before="80" w:after="120"/>
        <w:ind w:left="576"/>
      </w:pPr>
      <w:r>
        <w:rPr>
          <w:rFonts w:ascii="Calibri" w:hAnsi="Calibri"/>
          <w:i/>
          <w:color w:val="64748B"/>
          <w:sz w:val="21"/>
        </w:rPr>
        <w:t>El Yazısı Beyan (çalışan tarafından doldurulacaktır):</w:t>
        <w:br/>
        <w:t>"Şirkete ait tüm gizli bilgi, belge ve dijital veriyi iade ettiğimi; kişisel cihaz, e-posta, bulut veya harici medyada hiçbir kopya bulundurmadığımı beyan ve taahhüt ederim."</w:t>
      </w:r>
    </w:p>
    <w:p>
      <w:pPr>
        <w:spacing w:after="80" w:line="276" w:lineRule="auto"/>
      </w:pPr>
      <w:r>
        <w:rPr>
          <w:rFonts w:ascii="Calibri" w:hAnsi="Calibri"/>
          <w:b/>
        </w:rPr>
        <w:t>Beyan Metni:</w:t>
      </w:r>
      <w:r>
        <w:rPr>
          <w:rFonts w:ascii="Calibri" w:hAnsi="Calibri"/>
        </w:rPr>
        <w:t xml:space="preserve"> </w:t>
      </w:r>
      <w:r>
        <w:rPr>
          <w:rFonts w:ascii="Calibri" w:hAnsi="Calibri"/>
          <w:b/>
        </w:rPr>
        <w:t>_</w:t>
      </w:r>
      <w:r>
        <w:rPr>
          <w:rFonts w:ascii="Calibri" w:hAnsi="Calibri"/>
          <w:b/>
        </w:rPr>
        <w:t>_</w:t>
      </w:r>
      <w:r>
        <w:rPr>
          <w:rFonts w:ascii="Calibri" w:hAnsi="Calibri"/>
          <w:b/>
        </w:rPr>
        <w:t>_</w:t>
      </w:r>
      <w:r>
        <w:rPr>
          <w:rFonts w:ascii="Calibri" w:hAnsi="Calibri"/>
          <w:b/>
        </w:rPr>
        <w:t>_</w:t>
      </w:r>
      <w:r>
        <w:rPr>
          <w:rFonts w:ascii="Calibri" w:hAnsi="Calibri"/>
          <w:b/>
        </w:rPr>
        <w:t>_</w:t>
      </w:r>
      <w:r>
        <w:rPr>
          <w:rFonts w:ascii="Calibri" w:hAnsi="Calibri"/>
          <w:b/>
        </w:rPr>
        <w:t>_</w:t>
      </w:r>
      <w:r>
        <w:rPr>
          <w:rFonts w:ascii="Calibri" w:hAnsi="Calibri"/>
          <w:b/>
        </w:rPr>
        <w:t>_</w:t>
      </w:r>
      <w:r>
        <w:rPr>
          <w:rFonts w:ascii="Calibri" w:hAnsi="Calibri"/>
          <w:b/>
        </w:rPr>
        <w:t>_</w:t>
      </w:r>
      <w:r>
        <w:rPr>
          <w:rFonts w:ascii="Calibri" w:hAnsi="Calibri"/>
          <w:b/>
        </w:rPr>
        <w:t>_</w:t>
      </w:r>
      <w:r>
        <w:rPr>
          <w:rFonts w:ascii="Calibri" w:hAnsi="Calibri"/>
          <w:b/>
        </w:rPr>
        <w:t>_</w:t>
        <w:br/>
        <w:t xml:space="preserve">Çalışan Adı Soyadı: [Adı Soyadı]  |  Tarih: [GG/AA/YYYY]  |  İmza: </w:t>
      </w:r>
      <w:r>
        <w:rPr>
          <w:rFonts w:ascii="Calibri" w:hAnsi="Calibri"/>
          <w:b/>
        </w:rPr>
        <w:t>_</w:t>
      </w:r>
      <w:r>
        <w:rPr>
          <w:rFonts w:ascii="Calibri" w:hAnsi="Calibri"/>
          <w:b/>
        </w:rPr>
        <w:t>_</w:t>
      </w:r>
      <w:r>
        <w:rPr>
          <w:rFonts w:ascii="Calibri" w:hAnsi="Calibri"/>
        </w:rPr>
        <w:t>______</w:t>
      </w:r>
    </w:p>
    <w:p>
      <w:pPr>
        <w:spacing w:before="200" w:after="80"/>
      </w:pPr>
      <w:r>
        <w:rPr>
          <w:rFonts w:ascii="Calibri" w:hAnsi="Calibri"/>
          <w:b/>
          <w:color w:val="1E3A8A"/>
          <w:sz w:val="28"/>
        </w:rPr>
        <w:t>13. SÜRE, UYUŞMAZLIK VE YÜRÜRLÜK</w:t>
      </w:r>
    </w:p>
    <w:p>
      <w:pPr>
        <w:pStyle w:val="ListBullet"/>
        <w:spacing w:after="40" w:line="276" w:lineRule="auto"/>
      </w:pPr>
      <w:r>
        <w:rPr>
          <w:rFonts w:ascii="Calibri" w:hAnsi="Calibri"/>
          <w:b/>
        </w:rPr>
        <w:t>Süre:</w:t>
      </w:r>
      <w:r>
        <w:rPr>
          <w:rFonts w:ascii="Calibri" w:hAnsi="Calibri"/>
        </w:rPr>
        <w:t xml:space="preserve"> Gizlilik yükümlülüğü, iş akdinin sona ermesinden itibaren </w:t>
      </w:r>
      <w:r>
        <w:rPr>
          <w:rFonts w:ascii="Calibri" w:hAnsi="Calibri"/>
          <w:b/>
        </w:rPr>
        <w:t>3 (üç) yıl</w:t>
      </w:r>
      <w:r>
        <w:rPr>
          <w:rFonts w:ascii="Calibri" w:hAnsi="Calibri"/>
        </w:rPr>
        <w:t xml:space="preserve">; rekabet yasağı </w:t>
      </w:r>
      <w:r>
        <w:rPr>
          <w:rFonts w:ascii="Calibri" w:hAnsi="Calibri"/>
          <w:b/>
        </w:rPr>
        <w:t>en çok 2 (iki) yıl</w:t>
      </w:r>
      <w:r>
        <w:rPr>
          <w:rFonts w:ascii="Calibri" w:hAnsi="Calibri"/>
        </w:rPr>
        <w:t xml:space="preserve"> süreyle geçerlidir.</w:t>
      </w:r>
    </w:p>
    <w:p>
      <w:pPr>
        <w:pStyle w:val="ListBullet"/>
        <w:spacing w:after="40" w:line="276" w:lineRule="auto"/>
      </w:pPr>
      <w:r>
        <w:rPr>
          <w:rFonts w:ascii="Calibri" w:hAnsi="Calibri"/>
          <w:b/>
        </w:rPr>
        <w:t>Bölünebilirlik:</w:t>
      </w:r>
      <w:r>
        <w:rPr>
          <w:rFonts w:ascii="Calibri" w:hAnsi="Calibri"/>
        </w:rPr>
        <w:t xml:space="preserve"> Sözleşmenin herhangi bir hükmünün geçersizliği diğer hükümleri etkilemez; geçersiz hüküm yerine amaca en yakın geçerli hüküm uygulanır.</w:t>
      </w:r>
    </w:p>
    <w:p>
      <w:pPr>
        <w:pStyle w:val="ListBullet"/>
        <w:spacing w:after="40" w:line="276" w:lineRule="auto"/>
      </w:pPr>
      <w:r>
        <w:rPr>
          <w:rFonts w:ascii="Calibri" w:hAnsi="Calibri"/>
          <w:b/>
        </w:rPr>
        <w:t>Delil:</w:t>
      </w:r>
      <w:r>
        <w:rPr>
          <w:rFonts w:ascii="Calibri" w:hAnsi="Calibri"/>
        </w:rPr>
        <w:t xml:space="preserve"> Şirket sistemlerinden alınan log kayıtları, e-posta başlıkları ve dijital deliller, ihlalin ispatında esas alınır.</w:t>
      </w:r>
    </w:p>
    <w:p>
      <w:pPr>
        <w:pStyle w:val="ListBullet"/>
        <w:spacing w:after="40" w:line="276" w:lineRule="auto"/>
      </w:pPr>
      <w:r>
        <w:rPr>
          <w:rFonts w:ascii="Calibri" w:hAnsi="Calibri"/>
          <w:b/>
        </w:rPr>
        <w:t>Uyuşmazlık:</w:t>
      </w:r>
      <w:r>
        <w:rPr>
          <w:rFonts w:ascii="Calibri" w:hAnsi="Calibri"/>
        </w:rPr>
        <w:t xml:space="preserve"> İş ilişkisinden doğan uyuşmazlıklarda [İstanbul] İş Mahkemeleri yetkilidir; dava açılmadan önce 7036 s. Kanun Md. 3 uyarınca </w:t>
      </w:r>
      <w:r>
        <w:rPr>
          <w:rFonts w:ascii="Calibri" w:hAnsi="Calibri"/>
          <w:b/>
        </w:rPr>
        <w:t>zorunlu arabuluculuk</w:t>
      </w:r>
      <w:r>
        <w:rPr>
          <w:rFonts w:ascii="Calibri" w:hAnsi="Calibri"/>
        </w:rPr>
        <w:t xml:space="preserve"> yoluna başvurulur.</w:t>
      </w:r>
    </w:p>
    <w:p>
      <w:pPr>
        <w:pStyle w:val="ListBullet"/>
        <w:spacing w:after="40" w:line="276" w:lineRule="auto"/>
      </w:pPr>
      <w:r>
        <w:rPr>
          <w:rFonts w:ascii="Calibri" w:hAnsi="Calibri"/>
          <w:b/>
        </w:rPr>
        <w:t>Yürürlük:</w:t>
      </w:r>
      <w:r>
        <w:rPr>
          <w:rFonts w:ascii="Calibri" w:hAnsi="Calibri"/>
        </w:rPr>
        <w:t xml:space="preserve"> Sözleşme iki nüsha olarak düzenlenmiş ve taraflarca imzalanmıştır; bir nüshası çalışana verilir, diğeri özlük dosyasında saklanır.</w:t>
      </w:r>
    </w:p>
    <w:tbl>
      <w:tblPr>
        <w:tblW w:type="auto" w:w="0"/>
        <w:jc w:val="center"/>
        <w:tblLayout w:type="autofit"/>
        <w:tblLook w:firstColumn="1" w:firstRow="1" w:lastColumn="0" w:lastRow="0" w:noHBand="0" w:noVBand="1" w:val="04A0"/>
        <w:tblBorders>
          <w:top w:val="single" w:sz="4" w:space="0" w:color="CBD5E1"/>
          <w:bottom w:val="single" w:sz="4" w:space="0" w:color="CBD5E1"/>
          <w:left w:val="none"/>
          <w:right w:val="none"/>
          <w:insideH w:val="single" w:sz="4" w:space="0" w:color="E2E8F0"/>
          <w:insideV w:val="none"/>
        </w:tblBorders>
      </w:tblPr>
      <w:tblGrid>
        <w:gridCol w:w="1814"/>
        <w:gridCol w:w="1814"/>
        <w:gridCol w:w="1814"/>
        <w:gridCol w:w="1814"/>
        <w:gridCol w:w="1814"/>
      </w:tblGrid>
      <w:tr>
        <w:tc>
          <w:tcPr>
            <w:tcW w:type="dxa" w:w="1814"/>
            <w:tcMar>
              <w:top w:w="120" w:type="dxa"/>
              <w:bottom w:w="120" w:type="dxa"/>
              <w:left w:w="150" w:type="dxa"/>
              <w:right w:w="150" w:type="dxa"/>
            </w:tcMar>
            <w:shd w:fill="F1F5F9"/>
          </w:tcPr>
          <w:p>
            <w:pPr>
              <w:spacing w:after="40" w:line="252" w:lineRule="auto"/>
            </w:pPr>
            <w:r>
              <w:rPr>
                <w:rFonts w:ascii="Calibri" w:hAnsi="Calibri"/>
                <w:b/>
                <w:color w:val="0F172A"/>
                <w:sz w:val="20"/>
              </w:rPr>
              <w:t>Rol</w:t>
            </w:r>
          </w:p>
        </w:tc>
        <w:tc>
          <w:tcPr>
            <w:tcW w:type="dxa" w:w="1814"/>
            <w:tcMar>
              <w:top w:w="120" w:type="dxa"/>
              <w:bottom w:w="120" w:type="dxa"/>
              <w:left w:w="150" w:type="dxa"/>
              <w:right w:w="150" w:type="dxa"/>
            </w:tcMar>
            <w:shd w:fill="F1F5F9"/>
          </w:tcPr>
          <w:p>
            <w:pPr>
              <w:spacing w:after="40" w:line="252" w:lineRule="auto"/>
            </w:pPr>
            <w:r>
              <w:rPr>
                <w:rFonts w:ascii="Calibri" w:hAnsi="Calibri"/>
                <w:b/>
                <w:color w:val="0F172A"/>
                <w:sz w:val="20"/>
              </w:rPr>
              <w:t>Adı Soyadı</w:t>
            </w:r>
          </w:p>
        </w:tc>
        <w:tc>
          <w:tcPr>
            <w:tcW w:type="dxa" w:w="1814"/>
            <w:tcMar>
              <w:top w:w="120" w:type="dxa"/>
              <w:bottom w:w="120" w:type="dxa"/>
              <w:left w:w="150" w:type="dxa"/>
              <w:right w:w="150" w:type="dxa"/>
            </w:tcMar>
            <w:shd w:fill="F1F5F9"/>
          </w:tcPr>
          <w:p>
            <w:pPr>
              <w:spacing w:after="40" w:line="252" w:lineRule="auto"/>
            </w:pPr>
            <w:r>
              <w:rPr>
                <w:rFonts w:ascii="Calibri" w:hAnsi="Calibri"/>
                <w:b/>
                <w:color w:val="0F172A"/>
                <w:sz w:val="20"/>
              </w:rPr>
              <w:t>Unvanı</w:t>
            </w:r>
          </w:p>
        </w:tc>
        <w:tc>
          <w:tcPr>
            <w:tcW w:type="dxa" w:w="1814"/>
            <w:tcMar>
              <w:top w:w="120" w:type="dxa"/>
              <w:bottom w:w="120" w:type="dxa"/>
              <w:left w:w="150" w:type="dxa"/>
              <w:right w:w="150" w:type="dxa"/>
            </w:tcMar>
            <w:shd w:fill="F1F5F9"/>
          </w:tcPr>
          <w:p>
            <w:pPr>
              <w:spacing w:after="40" w:line="252" w:lineRule="auto"/>
            </w:pPr>
            <w:r>
              <w:rPr>
                <w:rFonts w:ascii="Calibri" w:hAnsi="Calibri"/>
                <w:b/>
                <w:color w:val="0F172A"/>
                <w:sz w:val="20"/>
              </w:rPr>
              <w:t>Tarih</w:t>
            </w:r>
          </w:p>
        </w:tc>
        <w:tc>
          <w:tcPr>
            <w:tcW w:type="dxa" w:w="1814"/>
            <w:tcMar>
              <w:top w:w="120" w:type="dxa"/>
              <w:bottom w:w="120" w:type="dxa"/>
              <w:left w:w="150" w:type="dxa"/>
              <w:right w:w="150" w:type="dxa"/>
            </w:tcMar>
            <w:shd w:fill="F1F5F9"/>
          </w:tcPr>
          <w:p>
            <w:pPr>
              <w:spacing w:after="40" w:line="252" w:lineRule="auto"/>
            </w:pPr>
            <w:r>
              <w:rPr>
                <w:rFonts w:ascii="Calibri" w:hAnsi="Calibri"/>
                <w:b/>
                <w:color w:val="0F172A"/>
                <w:sz w:val="20"/>
              </w:rPr>
              <w:t>İmza</w:t>
            </w:r>
          </w:p>
        </w:tc>
      </w:tr>
      <w:tr>
        <w:tc>
          <w:tcPr>
            <w:tcW w:type="dxa" w:w="1814"/>
            <w:tcMar>
              <w:top w:w="120" w:type="dxa"/>
              <w:bottom w:w="120" w:type="dxa"/>
              <w:left w:w="150" w:type="dxa"/>
              <w:right w:w="150" w:type="dxa"/>
            </w:tcMar>
            <w:shd w:fill="F8FAFC"/>
          </w:tcPr>
          <w:p>
            <w:pPr>
              <w:spacing w:after="40" w:line="252" w:lineRule="auto"/>
            </w:pPr>
            <w:r>
              <w:rPr>
                <w:rFonts w:ascii="Calibri" w:hAnsi="Calibri"/>
                <w:b/>
                <w:sz w:val="19"/>
              </w:rPr>
              <w:t>İŞVEREN / VEKİLİ</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[Adı Soyadı]</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İnsan Kaynakları Direktörü</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[GG/AA/YYYY]</w:t>
            </w:r>
          </w:p>
        </w:tc>
        <w:tc>
          <w:tcPr>
            <w:tcW w:type="dxa" w:w="1814"/>
            <w:tcMar>
              <w:top w:w="120" w:type="dxa"/>
              <w:bottom w:w="120" w:type="dxa"/>
              <w:left w:w="150" w:type="dxa"/>
              <w:right w:w="150" w:type="dxa"/>
            </w:tcMar>
            <w:shd w:fill="F8FAFC"/>
          </w:tcPr>
          <w:p>
            <w:pPr>
              <w:spacing w:after="40" w:line="252" w:lineRule="auto"/>
            </w:pPr>
            <w:r>
              <w:rPr>
                <w:rFonts w:ascii="Calibri" w:hAnsi="Calibri"/>
                <w:b/>
                <w:sz w:val="19"/>
              </w:rPr>
              <w:t>_</w:t>
            </w:r>
            <w:r>
              <w:rPr>
                <w:rFonts w:ascii="Calibri" w:hAnsi="Calibri"/>
                <w:b/>
                <w:sz w:val="19"/>
              </w:rPr>
              <w:t>_</w:t>
            </w:r>
            <w:r>
              <w:rPr>
                <w:rFonts w:ascii="Calibri" w:hAnsi="Calibri"/>
                <w:b/>
                <w:sz w:val="19"/>
              </w:rPr>
              <w:t>_</w:t>
            </w:r>
            <w:r>
              <w:rPr>
                <w:rFonts w:ascii="Calibri" w:hAnsi="Calibri"/>
                <w:sz w:val="19"/>
              </w:rPr>
              <w:t>_</w:t>
            </w:r>
          </w:p>
        </w:tc>
      </w:tr>
      <w:tr>
        <w:tc>
          <w:tcPr>
            <w:tcW w:type="dxa" w:w="1814"/>
            <w:tcMar>
              <w:top w:w="120" w:type="dxa"/>
              <w:bottom w:w="120" w:type="dxa"/>
              <w:left w:w="150" w:type="dxa"/>
              <w:right w:w="150" w:type="dxa"/>
            </w:tcMar>
          </w:tcPr>
          <w:p>
            <w:pPr>
              <w:spacing w:after="40" w:line="252" w:lineRule="auto"/>
            </w:pPr>
            <w:r>
              <w:rPr>
                <w:rFonts w:ascii="Calibri" w:hAnsi="Calibri"/>
                <w:b/>
                <w:sz w:val="19"/>
              </w:rPr>
              <w:t>ÇALIŞAN</w:t>
            </w:r>
          </w:p>
        </w:tc>
        <w:tc>
          <w:tcPr>
            <w:tcW w:type="dxa" w:w="1814"/>
            <w:tcMar>
              <w:top w:w="120" w:type="dxa"/>
              <w:bottom w:w="120" w:type="dxa"/>
              <w:left w:w="150" w:type="dxa"/>
              <w:right w:w="150" w:type="dxa"/>
            </w:tcMar>
          </w:tcPr>
          <w:p>
            <w:pPr>
              <w:spacing w:after="40" w:line="252" w:lineRule="auto"/>
            </w:pPr>
            <w:r>
              <w:rPr>
                <w:rFonts w:ascii="Calibri" w:hAnsi="Calibri"/>
                <w:sz w:val="19"/>
              </w:rPr>
              <w:t>[Adı Soyadı]</w:t>
            </w:r>
          </w:p>
        </w:tc>
        <w:tc>
          <w:tcPr>
            <w:tcW w:type="dxa" w:w="1814"/>
            <w:tcMar>
              <w:top w:w="120" w:type="dxa"/>
              <w:bottom w:w="120" w:type="dxa"/>
              <w:left w:w="150" w:type="dxa"/>
              <w:right w:w="150" w:type="dxa"/>
            </w:tcMar>
          </w:tcPr>
          <w:p>
            <w:pPr>
              <w:spacing w:after="40" w:line="252" w:lineRule="auto"/>
            </w:pPr>
            <w:r>
              <w:rPr>
                <w:rFonts w:ascii="Calibri" w:hAnsi="Calibri"/>
                <w:sz w:val="19"/>
              </w:rPr>
              <w:t>[Unvan]</w:t>
            </w:r>
          </w:p>
        </w:tc>
        <w:tc>
          <w:tcPr>
            <w:tcW w:type="dxa" w:w="1814"/>
            <w:tcMar>
              <w:top w:w="120" w:type="dxa"/>
              <w:bottom w:w="120" w:type="dxa"/>
              <w:left w:w="150" w:type="dxa"/>
              <w:right w:w="150" w:type="dxa"/>
            </w:tcMar>
          </w:tcPr>
          <w:p>
            <w:pPr>
              <w:spacing w:after="40" w:line="252" w:lineRule="auto"/>
            </w:pPr>
            <w:r>
              <w:rPr>
                <w:rFonts w:ascii="Calibri" w:hAnsi="Calibri"/>
                <w:sz w:val="19"/>
              </w:rPr>
              <w:t>[GG/AA/YYYY]</w:t>
            </w:r>
          </w:p>
        </w:tc>
        <w:tc>
          <w:tcPr>
            <w:tcW w:type="dxa" w:w="1814"/>
            <w:tcMar>
              <w:top w:w="120" w:type="dxa"/>
              <w:bottom w:w="120" w:type="dxa"/>
              <w:left w:w="150" w:type="dxa"/>
              <w:right w:w="150" w:type="dxa"/>
            </w:tcMar>
          </w:tcPr>
          <w:p>
            <w:pPr>
              <w:spacing w:after="40" w:line="252" w:lineRule="auto"/>
            </w:pPr>
            <w:r>
              <w:rPr>
                <w:rFonts w:ascii="Calibri" w:hAnsi="Calibri"/>
                <w:b/>
                <w:sz w:val="19"/>
              </w:rPr>
              <w:t>_</w:t>
            </w:r>
            <w:r>
              <w:rPr>
                <w:rFonts w:ascii="Calibri" w:hAnsi="Calibri"/>
                <w:b/>
                <w:sz w:val="19"/>
              </w:rPr>
              <w:t>_</w:t>
            </w:r>
            <w:r>
              <w:rPr>
                <w:rFonts w:ascii="Calibri" w:hAnsi="Calibri"/>
                <w:b/>
                <w:sz w:val="19"/>
              </w:rPr>
              <w:t>_</w:t>
            </w:r>
            <w:r>
              <w:rPr>
                <w:rFonts w:ascii="Calibri" w:hAnsi="Calibri"/>
                <w:sz w:val="19"/>
              </w:rPr>
              <w:t>_</w:t>
            </w:r>
          </w:p>
        </w:tc>
      </w:tr>
      <w:tr>
        <w:tc>
          <w:tcPr>
            <w:tcW w:type="dxa" w:w="1814"/>
            <w:tcMar>
              <w:top w:w="120" w:type="dxa"/>
              <w:bottom w:w="120" w:type="dxa"/>
              <w:left w:w="150" w:type="dxa"/>
              <w:right w:w="150" w:type="dxa"/>
            </w:tcMar>
            <w:shd w:fill="F8FAFC"/>
          </w:tcPr>
          <w:p>
            <w:pPr>
              <w:spacing w:after="40" w:line="252" w:lineRule="auto"/>
            </w:pPr>
            <w:r>
              <w:rPr>
                <w:rFonts w:ascii="Calibri" w:hAnsi="Calibri"/>
                <w:b/>
                <w:sz w:val="19"/>
              </w:rPr>
              <w:t>ŞAHİT 1</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[Adı Soyadı]</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[Unvan]</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[GG/AA/YYYY]</w:t>
            </w:r>
          </w:p>
        </w:tc>
        <w:tc>
          <w:tcPr>
            <w:tcW w:type="dxa" w:w="1814"/>
            <w:tcMar>
              <w:top w:w="120" w:type="dxa"/>
              <w:bottom w:w="120" w:type="dxa"/>
              <w:left w:w="150" w:type="dxa"/>
              <w:right w:w="150" w:type="dxa"/>
            </w:tcMar>
            <w:shd w:fill="F8FAFC"/>
          </w:tcPr>
          <w:p>
            <w:pPr>
              <w:spacing w:after="40" w:line="252" w:lineRule="auto"/>
            </w:pPr>
            <w:r>
              <w:rPr>
                <w:rFonts w:ascii="Calibri" w:hAnsi="Calibri"/>
                <w:b/>
                <w:sz w:val="19"/>
              </w:rPr>
              <w:t>_</w:t>
            </w:r>
            <w:r>
              <w:rPr>
                <w:rFonts w:ascii="Calibri" w:hAnsi="Calibri"/>
                <w:b/>
                <w:sz w:val="19"/>
              </w:rPr>
              <w:t>_</w:t>
            </w:r>
            <w:r>
              <w:rPr>
                <w:rFonts w:ascii="Calibri" w:hAnsi="Calibri"/>
                <w:b/>
                <w:sz w:val="19"/>
              </w:rPr>
              <w:t>_</w:t>
            </w:r>
            <w:r>
              <w:rPr>
                <w:rFonts w:ascii="Calibri" w:hAnsi="Calibri"/>
                <w:sz w:val="19"/>
              </w:rPr>
              <w:t>_</w:t>
            </w:r>
          </w:p>
        </w:tc>
      </w:tr>
      <w:tr>
        <w:tc>
          <w:tcPr>
            <w:tcW w:type="dxa" w:w="1814"/>
            <w:tcMar>
              <w:top w:w="120" w:type="dxa"/>
              <w:bottom w:w="120" w:type="dxa"/>
              <w:left w:w="150" w:type="dxa"/>
              <w:right w:w="150" w:type="dxa"/>
            </w:tcMar>
          </w:tcPr>
          <w:p>
            <w:pPr>
              <w:spacing w:after="40" w:line="252" w:lineRule="auto"/>
            </w:pPr>
            <w:r>
              <w:rPr>
                <w:rFonts w:ascii="Calibri" w:hAnsi="Calibri"/>
                <w:b/>
                <w:sz w:val="19"/>
              </w:rPr>
              <w:t>ŞAHİT 2</w:t>
            </w:r>
          </w:p>
        </w:tc>
        <w:tc>
          <w:tcPr>
            <w:tcW w:type="dxa" w:w="1814"/>
            <w:tcMar>
              <w:top w:w="120" w:type="dxa"/>
              <w:bottom w:w="120" w:type="dxa"/>
              <w:left w:w="150" w:type="dxa"/>
              <w:right w:w="150" w:type="dxa"/>
            </w:tcMar>
          </w:tcPr>
          <w:p>
            <w:pPr>
              <w:spacing w:after="40" w:line="252" w:lineRule="auto"/>
            </w:pPr>
            <w:r>
              <w:rPr>
                <w:rFonts w:ascii="Calibri" w:hAnsi="Calibri"/>
                <w:sz w:val="19"/>
              </w:rPr>
              <w:t>[Adı Soyadı]</w:t>
            </w:r>
          </w:p>
        </w:tc>
        <w:tc>
          <w:tcPr>
            <w:tcW w:type="dxa" w:w="1814"/>
            <w:tcMar>
              <w:top w:w="120" w:type="dxa"/>
              <w:bottom w:w="120" w:type="dxa"/>
              <w:left w:w="150" w:type="dxa"/>
              <w:right w:w="150" w:type="dxa"/>
            </w:tcMar>
          </w:tcPr>
          <w:p>
            <w:pPr>
              <w:spacing w:after="40" w:line="252" w:lineRule="auto"/>
            </w:pPr>
            <w:r>
              <w:rPr>
                <w:rFonts w:ascii="Calibri" w:hAnsi="Calibri"/>
                <w:sz w:val="19"/>
              </w:rPr>
              <w:t>[Unvan]</w:t>
            </w:r>
          </w:p>
        </w:tc>
        <w:tc>
          <w:tcPr>
            <w:tcW w:type="dxa" w:w="1814"/>
            <w:tcMar>
              <w:top w:w="120" w:type="dxa"/>
              <w:bottom w:w="120" w:type="dxa"/>
              <w:left w:w="150" w:type="dxa"/>
              <w:right w:w="150" w:type="dxa"/>
            </w:tcMar>
          </w:tcPr>
          <w:p>
            <w:pPr>
              <w:spacing w:after="40" w:line="252" w:lineRule="auto"/>
            </w:pPr>
            <w:r>
              <w:rPr>
                <w:rFonts w:ascii="Calibri" w:hAnsi="Calibri"/>
                <w:sz w:val="19"/>
              </w:rPr>
              <w:t>[GG/AA/YYYY]</w:t>
            </w:r>
          </w:p>
        </w:tc>
        <w:tc>
          <w:tcPr>
            <w:tcW w:type="dxa" w:w="1814"/>
            <w:tcMar>
              <w:top w:w="120" w:type="dxa"/>
              <w:bottom w:w="120" w:type="dxa"/>
              <w:left w:w="150" w:type="dxa"/>
              <w:right w:w="150" w:type="dxa"/>
            </w:tcMar>
          </w:tcPr>
          <w:p>
            <w:pPr>
              <w:spacing w:after="40" w:line="252" w:lineRule="auto"/>
            </w:pPr>
            <w:r>
              <w:rPr>
                <w:rFonts w:ascii="Calibri" w:hAnsi="Calibri"/>
                <w:b/>
                <w:sz w:val="19"/>
              </w:rPr>
              <w:t>_</w:t>
            </w:r>
            <w:r>
              <w:rPr>
                <w:rFonts w:ascii="Calibri" w:hAnsi="Calibri"/>
                <w:b/>
                <w:sz w:val="19"/>
              </w:rPr>
              <w:t>_</w:t>
            </w:r>
            <w:r>
              <w:rPr>
                <w:rFonts w:ascii="Calibri" w:hAnsi="Calibri"/>
                <w:b/>
                <w:sz w:val="19"/>
              </w:rPr>
              <w:t>_</w:t>
            </w:r>
            <w:r>
              <w:rPr>
                <w:rFonts w:ascii="Calibri" w:hAnsi="Calibri"/>
                <w:sz w:val="19"/>
              </w:rPr>
              <w:t>_</w:t>
            </w:r>
          </w:p>
        </w:tc>
      </w:tr>
    </w:tbl>
    <w:p>
      <w:pPr>
        <w:spacing w:after="120"/>
      </w:pPr>
    </w:p>
    <w:p>
      <w:pPr>
        <w:spacing w:before="160" w:after="60"/>
      </w:pPr>
      <w:r>
        <w:rPr>
          <w:rFonts w:ascii="Calibri" w:hAnsi="Calibri"/>
          <w:b/>
          <w:color w:val="475569"/>
          <w:sz w:val="24"/>
        </w:rPr>
        <w:t>REVİZYON GEÇMİŞİ</w:t>
      </w:r>
    </w:p>
    <w:tbl>
      <w:tblPr>
        <w:tblW w:type="auto" w:w="0"/>
        <w:jc w:val="center"/>
        <w:tblLayout w:type="autofit"/>
        <w:tblLook w:firstColumn="1" w:firstRow="1" w:lastColumn="0" w:lastRow="0" w:noHBand="0" w:noVBand="1" w:val="04A0"/>
        <w:tblBorders>
          <w:top w:val="single" w:sz="4" w:space="0" w:color="CBD5E1"/>
          <w:bottom w:val="single" w:sz="4" w:space="0" w:color="CBD5E1"/>
          <w:left w:val="none"/>
          <w:right w:val="none"/>
          <w:insideH w:val="single" w:sz="4" w:space="0" w:color="E2E8F0"/>
          <w:insideV w:val="none"/>
        </w:tblBorders>
      </w:tblPr>
      <w:tblGrid>
        <w:gridCol w:w="1814"/>
        <w:gridCol w:w="1814"/>
        <w:gridCol w:w="1814"/>
        <w:gridCol w:w="1814"/>
        <w:gridCol w:w="1814"/>
      </w:tblGrid>
      <w:tr>
        <w:tc>
          <w:tcPr>
            <w:tcW w:type="dxa" w:w="1814"/>
            <w:tcMar>
              <w:top w:w="120" w:type="dxa"/>
              <w:bottom w:w="120" w:type="dxa"/>
              <w:left w:w="150" w:type="dxa"/>
              <w:right w:w="150" w:type="dxa"/>
            </w:tcMar>
            <w:shd w:fill="F1F5F9"/>
          </w:tcPr>
          <w:p>
            <w:pPr>
              <w:spacing w:after="40" w:line="252" w:lineRule="auto"/>
            </w:pPr>
            <w:r>
              <w:rPr>
                <w:rFonts w:ascii="Calibri" w:hAnsi="Calibri"/>
                <w:b/>
                <w:color w:val="0F172A"/>
                <w:sz w:val="20"/>
              </w:rPr>
              <w:t>Revizyon</w:t>
            </w:r>
          </w:p>
        </w:tc>
        <w:tc>
          <w:tcPr>
            <w:tcW w:type="dxa" w:w="1814"/>
            <w:tcMar>
              <w:top w:w="120" w:type="dxa"/>
              <w:bottom w:w="120" w:type="dxa"/>
              <w:left w:w="150" w:type="dxa"/>
              <w:right w:w="150" w:type="dxa"/>
            </w:tcMar>
            <w:shd w:fill="F1F5F9"/>
          </w:tcPr>
          <w:p>
            <w:pPr>
              <w:spacing w:after="40" w:line="252" w:lineRule="auto"/>
            </w:pPr>
            <w:r>
              <w:rPr>
                <w:rFonts w:ascii="Calibri" w:hAnsi="Calibri"/>
                <w:b/>
                <w:color w:val="0F172A"/>
                <w:sz w:val="20"/>
              </w:rPr>
              <w:t>Tarih</w:t>
            </w:r>
          </w:p>
        </w:tc>
        <w:tc>
          <w:tcPr>
            <w:tcW w:type="dxa" w:w="1814"/>
            <w:tcMar>
              <w:top w:w="120" w:type="dxa"/>
              <w:bottom w:w="120" w:type="dxa"/>
              <w:left w:w="150" w:type="dxa"/>
              <w:right w:w="150" w:type="dxa"/>
            </w:tcMar>
            <w:shd w:fill="F1F5F9"/>
          </w:tcPr>
          <w:p>
            <w:pPr>
              <w:spacing w:after="40" w:line="252" w:lineRule="auto"/>
            </w:pPr>
            <w:r>
              <w:rPr>
                <w:rFonts w:ascii="Calibri" w:hAnsi="Calibri"/>
                <w:b/>
                <w:color w:val="0F172A"/>
                <w:sz w:val="20"/>
              </w:rPr>
              <w:t>Değişiklik</w:t>
            </w:r>
          </w:p>
        </w:tc>
        <w:tc>
          <w:tcPr>
            <w:tcW w:type="dxa" w:w="1814"/>
            <w:tcMar>
              <w:top w:w="120" w:type="dxa"/>
              <w:bottom w:w="120" w:type="dxa"/>
              <w:left w:w="150" w:type="dxa"/>
              <w:right w:w="150" w:type="dxa"/>
            </w:tcMar>
            <w:shd w:fill="F1F5F9"/>
          </w:tcPr>
          <w:p>
            <w:pPr>
              <w:spacing w:after="40" w:line="252" w:lineRule="auto"/>
            </w:pPr>
            <w:r>
              <w:rPr>
                <w:rFonts w:ascii="Calibri" w:hAnsi="Calibri"/>
                <w:b/>
                <w:color w:val="0F172A"/>
                <w:sz w:val="20"/>
              </w:rPr>
              <w:t>Sebep</w:t>
            </w:r>
          </w:p>
        </w:tc>
        <w:tc>
          <w:tcPr>
            <w:tcW w:type="dxa" w:w="1814"/>
            <w:tcMar>
              <w:top w:w="120" w:type="dxa"/>
              <w:bottom w:w="120" w:type="dxa"/>
              <w:left w:w="150" w:type="dxa"/>
              <w:right w:w="150" w:type="dxa"/>
            </w:tcMar>
            <w:shd w:fill="F1F5F9"/>
          </w:tcPr>
          <w:p>
            <w:pPr>
              <w:spacing w:after="40" w:line="252" w:lineRule="auto"/>
            </w:pPr>
            <w:r>
              <w:rPr>
                <w:rFonts w:ascii="Calibri" w:hAnsi="Calibri"/>
                <w:b/>
                <w:color w:val="0F172A"/>
                <w:sz w:val="20"/>
              </w:rPr>
              <w:t>Onay</w:t>
            </w:r>
          </w:p>
        </w:tc>
      </w:tr>
      <w:tr>
        <w:tc>
          <w:tcPr>
            <w:tcW w:type="dxa" w:w="1814"/>
            <w:tcMar>
              <w:top w:w="120" w:type="dxa"/>
              <w:bottom w:w="120" w:type="dxa"/>
              <w:left w:w="150" w:type="dxa"/>
              <w:right w:w="150" w:type="dxa"/>
            </w:tcMar>
            <w:shd w:fill="F8FAFC"/>
          </w:tcPr>
          <w:p>
            <w:pPr>
              <w:spacing w:after="40" w:line="252" w:lineRule="auto"/>
            </w:pPr>
            <w:r>
              <w:rPr>
                <w:rFonts w:ascii="Calibri" w:hAnsi="Calibri"/>
                <w:sz w:val="19"/>
              </w:rPr>
              <w:t>01</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[GG/AA/YYYY]</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İlk yayın</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Ticari sır koruması</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[GM]</w:t>
            </w:r>
          </w:p>
        </w:tc>
      </w:tr>
      <w:tr>
        <w:tc>
          <w:tcPr>
            <w:tcW w:type="dxa" w:w="1814"/>
            <w:tcMar>
              <w:top w:w="120" w:type="dxa"/>
              <w:bottom w:w="120" w:type="dxa"/>
              <w:left w:w="150" w:type="dxa"/>
              <w:right w:w="150" w:type="dxa"/>
            </w:tcMar>
          </w:tcPr>
          <w:p>
            <w:pPr>
              <w:spacing w:after="40" w:line="252" w:lineRule="auto"/>
            </w:pPr>
            <w:r>
              <w:rPr>
                <w:rFonts w:ascii="Calibri" w:hAnsi="Calibri"/>
                <w:sz w:val="19"/>
              </w:rPr>
              <w:t>02</w:t>
            </w:r>
          </w:p>
        </w:tc>
        <w:tc>
          <w:tcPr>
            <w:tcW w:type="dxa" w:w="1814"/>
            <w:tcMar>
              <w:top w:w="120" w:type="dxa"/>
              <w:bottom w:w="120" w:type="dxa"/>
              <w:left w:w="150" w:type="dxa"/>
              <w:right w:w="150" w:type="dxa"/>
            </w:tcMar>
          </w:tcPr>
          <w:p>
            <w:pPr>
              <w:spacing w:after="40" w:line="252" w:lineRule="auto"/>
            </w:pPr>
            <w:r>
              <w:rPr>
                <w:rFonts w:ascii="Calibri" w:hAnsi="Calibri"/>
                <w:sz w:val="19"/>
              </w:rPr>
              <w:t>[GG/AA/YYYY]</w:t>
            </w:r>
          </w:p>
        </w:tc>
        <w:tc>
          <w:tcPr>
            <w:tcW w:type="dxa" w:w="1814"/>
            <w:tcMar>
              <w:top w:w="120" w:type="dxa"/>
              <w:bottom w:w="120" w:type="dxa"/>
              <w:left w:w="150" w:type="dxa"/>
              <w:right w:w="150" w:type="dxa"/>
            </w:tcMar>
          </w:tcPr>
          <w:p>
            <w:pPr>
              <w:spacing w:after="40" w:line="252" w:lineRule="auto"/>
            </w:pPr>
            <w:r>
              <w:rPr>
                <w:rFonts w:ascii="Calibri" w:hAnsi="Calibri"/>
                <w:sz w:val="19"/>
              </w:rPr>
              <w:t>KVKK özel hükümleri, cezai şart sınırları, rekabet yasağı ve iade yükümlülükleri eklendi</w:t>
            </w:r>
          </w:p>
        </w:tc>
        <w:tc>
          <w:tcPr>
            <w:tcW w:type="dxa" w:w="1814"/>
            <w:tcMar>
              <w:top w:w="120" w:type="dxa"/>
              <w:bottom w:w="120" w:type="dxa"/>
              <w:left w:w="150" w:type="dxa"/>
              <w:right w:w="150" w:type="dxa"/>
            </w:tcMar>
          </w:tcPr>
          <w:p>
            <w:pPr>
              <w:spacing w:after="40" w:line="252" w:lineRule="auto"/>
            </w:pPr>
            <w:r>
              <w:rPr>
                <w:rFonts w:ascii="Calibri" w:hAnsi="Calibri"/>
                <w:sz w:val="19"/>
              </w:rPr>
              <w:t>Mevzuat uyumu</w:t>
            </w:r>
          </w:p>
        </w:tc>
        <w:tc>
          <w:tcPr>
            <w:tcW w:type="dxa" w:w="1814"/>
            <w:tcMar>
              <w:top w:w="120" w:type="dxa"/>
              <w:bottom w:w="120" w:type="dxa"/>
              <w:left w:w="150" w:type="dxa"/>
              <w:right w:w="150" w:type="dxa"/>
            </w:tcMar>
          </w:tcPr>
          <w:p>
            <w:pPr>
              <w:spacing w:after="40" w:line="252" w:lineRule="auto"/>
            </w:pPr>
            <w:r>
              <w:rPr>
                <w:rFonts w:ascii="Calibri" w:hAnsi="Calibri"/>
                <w:sz w:val="19"/>
              </w:rPr>
              <w:t>[GM]</w:t>
            </w:r>
          </w:p>
        </w:tc>
      </w:tr>
    </w:tbl>
    <w:p>
      <w:pPr>
        <w:spacing w:after="120"/>
      </w:pPr>
    </w:p>
    <w:p>
      <w:pPr>
        <w:spacing w:before="80" w:after="120"/>
        <w:ind w:left="576"/>
      </w:pPr>
      <w:r>
        <w:rPr>
          <w:rFonts w:ascii="Calibri" w:hAnsi="Calibri"/>
          <w:i/>
          <w:color w:val="64748B"/>
          <w:sz w:val="21"/>
        </w:rPr>
        <w:t>Arşiv Notu: Sözleşme ve el yazısı beyan, çalışanın özlük dosyasında hizmet akdi süresi + 10 yıl saklanır.</w:t>
      </w:r>
    </w:p>
    <w:sectPr w:rsidR="00FC693F" w:rsidRPr="0006063C" w:rsidSect="00034616">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E293B"/>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