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DİSİPLİN VE SORUŞTURMA SÜRECİ UYGULAMA TALİMATI</w:t>
      </w:r>
    </w:p>
    <w:p>
      <w:pPr>
        <w:spacing w:after="80" w:line="276" w:lineRule="auto"/>
      </w:pPr>
      <w:r>
        <w:rPr>
          <w:rFonts w:ascii="Calibri" w:hAnsi="Calibri"/>
          <w:b/>
        </w:rPr>
        <w:t>Doküman No:</w:t>
      </w:r>
      <w:r>
        <w:rPr>
          <w:rFonts w:ascii="Calibri" w:hAnsi="Calibri"/>
        </w:rPr>
        <w:t xml:space="preserve"> [TAL-İK-004]  |  </w:t>
      </w:r>
      <w:r>
        <w:rPr>
          <w:rFonts w:ascii="Calibri" w:hAnsi="Calibri"/>
          <w:b/>
        </w:rPr>
        <w:t>Yürürlük Tarihi:</w:t>
      </w:r>
      <w:r>
        <w:rPr>
          <w:rFonts w:ascii="Calibri" w:hAnsi="Calibri"/>
        </w:rPr>
        <w:t xml:space="preserve"> [01/01/2026]  |  </w:t>
      </w:r>
      <w:r>
        <w:rPr>
          <w:rFonts w:ascii="Calibri" w:hAnsi="Calibri"/>
          <w:b/>
        </w:rPr>
        <w:t>Revizyon No:</w:t>
      </w:r>
      <w:r>
        <w:rPr>
          <w:rFonts w:ascii="Calibri" w:hAnsi="Calibri"/>
        </w:rPr>
        <w:t xml:space="preserve"> [04]</w:t>
      </w:r>
      <w:r>
        <w:rPr>
          <w:rFonts w:ascii="Calibri" w:hAnsi="Calibri"/>
        </w:rPr>
        <w:br/>
      </w:r>
      <w:r>
        <w:rPr>
          <w:rFonts w:ascii="Calibri" w:hAnsi="Calibri"/>
          <w:b/>
        </w:rPr>
        <w:t>Hazırlayan:</w:t>
      </w:r>
      <w:r>
        <w:rPr>
          <w:rFonts w:ascii="Calibri" w:hAnsi="Calibri"/>
        </w:rPr>
        <w:t xml:space="preserve"> [İnsan Kaynakları + Hukuk Müşavirliği]  |  </w:t>
      </w:r>
      <w:r>
        <w:rPr>
          <w:rFonts w:ascii="Calibri" w:hAnsi="Calibri"/>
          <w:b/>
        </w:rPr>
        <w:t>Onaylayan:</w:t>
      </w:r>
      <w:r>
        <w:rPr>
          <w:rFonts w:ascii="Calibri" w:hAnsi="Calibri"/>
        </w:rPr>
        <w:t xml:space="preserve"> [Genel Müdür]  |  </w:t>
      </w:r>
      <w:r>
        <w:rPr>
          <w:rFonts w:ascii="Calibri" w:hAnsi="Calibri"/>
          <w:b/>
        </w:rPr>
        <w:t>Saklama:</w:t>
      </w:r>
      <w:r>
        <w:rPr>
          <w:rFonts w:ascii="Calibri" w:hAnsi="Calibri"/>
        </w:rPr>
        <w:t xml:space="preserve"> Özlük dosyası + 10 yıl</w:t>
      </w:r>
      <w:r>
        <w:rPr>
          <w:rFonts w:ascii="Calibri" w:hAnsi="Calibri"/>
        </w:rPr>
        <w:br/>
      </w:r>
      <w:r>
        <w:rPr>
          <w:rFonts w:ascii="Calibri" w:hAnsi="Calibri"/>
          <w:b/>
        </w:rPr>
        <w:t>Yasal Dayanak:</w:t>
      </w:r>
      <w:r>
        <w:rPr>
          <w:rFonts w:ascii="Calibri" w:hAnsi="Calibri"/>
        </w:rPr>
        <w:t xml:space="preserve"> 4857 s. İş Kanunu (Md. 18, 19, 20, 21, 25, 26, 38), 6098 s. TBK (Md. 417), 6331 s. Kanun (Md. 28), 7036 s. Kanun (Md. 3), İşyeri İç Yönetmelikleri Hakkında Tüzük</w:t>
      </w:r>
    </w:p>
    <w:p>
      <w:pPr>
        <w:spacing w:before="200" w:after="80"/>
      </w:pPr>
      <w:r>
        <w:rPr>
          <w:rFonts w:ascii="Calibri" w:hAnsi="Calibri"/>
          <w:b/>
          <w:color w:val="1E3A8A"/>
          <w:sz w:val="28"/>
        </w:rPr>
        <w:t>1. AMAÇ</w:t>
      </w:r>
    </w:p>
    <w:p>
      <w:pPr>
        <w:spacing w:after="80" w:line="276" w:lineRule="auto"/>
      </w:pPr>
      <w:r>
        <w:rPr>
          <w:rFonts w:ascii="Calibri" w:hAnsi="Calibri"/>
        </w:rPr>
        <w:t>İşbu talimatın amacı; [[Şirket Ünvanı]] bünyesinde çalışan tüm personelin uymakla yükümlü olduğu kuralları belirlemek, kurallara aykırı davranışların tespiti halinde tarafsız, adil ve yasal mevzuata uygun bir disiplin soruşturması yürüterek çalışma düzenini ve iş barışını korumaktır.</w:t>
      </w:r>
    </w:p>
    <w:p>
      <w:pPr>
        <w:spacing w:before="200" w:after="80"/>
      </w:pPr>
      <w:r>
        <w:rPr>
          <w:rFonts w:ascii="Calibri" w:hAnsi="Calibri"/>
          <w:b/>
          <w:color w:val="1E3A8A"/>
          <w:sz w:val="28"/>
        </w:rPr>
        <w:t>2. KAPSAM VE YASAL DAYANAK</w:t>
      </w:r>
    </w:p>
    <w:p>
      <w:pPr>
        <w:spacing w:after="80" w:line="276" w:lineRule="auto"/>
      </w:pPr>
      <w:r>
        <w:rPr>
          <w:rFonts w:ascii="Calibri" w:hAnsi="Calibri"/>
        </w:rPr>
        <w:t xml:space="preserve">Bu talimat, şirketin tüm merkez, şube, fabrika ve saha çalışanlarını kapsar. Dayanağını </w:t>
      </w:r>
      <w:r>
        <w:rPr>
          <w:rFonts w:ascii="Calibri" w:hAnsi="Calibri"/>
          <w:b/>
        </w:rPr>
        <w:t>4857 Sayılı İş Kanunu</w:t>
      </w:r>
      <w:r>
        <w:rPr>
          <w:rFonts w:ascii="Calibri" w:hAnsi="Calibri"/>
        </w:rPr>
        <w:t xml:space="preserve"> (özellikle Md. 18, 19, 25, 26, 38) ve Yargıtay İş Hukuku içtihatları oluşturur.</w:t>
      </w:r>
    </w:p>
    <w:p>
      <w:pPr>
        <w:spacing w:before="200" w:after="80"/>
      </w:pPr>
      <w:r>
        <w:rPr>
          <w:rFonts w:ascii="Calibri" w:hAnsi="Calibri"/>
          <w:b/>
          <w:color w:val="1E3A8A"/>
          <w:sz w:val="28"/>
        </w:rPr>
        <w:t>3. DİSİPLİN CEZALARI VE DERECELERİ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Ceza Derecesi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Ceza Türü</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Uygulanacağı Durumlar (Özet)</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Hukuki Sonuç</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1. Derece</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Yazılı Uyarı (İhtar)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Mesaiye mazeretsiz geç kalma, iş kıyafeti kurallarına uymama, çalışma alanını düzensiz bırakma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Sicil dosyasına işlenir</w:t>
            </w:r>
          </w:p>
        </w:tc>
      </w:tr>
      <w:tr>
        <w:tc>
          <w:tcPr>
            <w:tcW w:type="dxa" w:w="2268"/>
            <w:tcMar>
              <w:top w:w="120" w:type="dxa"/>
              <w:bottom w:w="120" w:type="dxa"/>
              <w:left w:w="150" w:type="dxa"/>
              <w:right w:w="150" w:type="dxa"/>
            </w:tcMar>
          </w:tcPr>
          <w:p>
            <w:pPr>
              <w:spacing w:after="40" w:line="252" w:lineRule="auto"/>
            </w:pPr>
            <w:r>
              <w:rPr>
                <w:rFonts w:ascii="Calibri" w:hAnsi="Calibri"/>
                <w:b/>
                <w:sz w:val="19"/>
              </w:rPr>
              <w:t>2. Derece</w:t>
            </w:r>
          </w:p>
        </w:tc>
        <w:tc>
          <w:tcPr>
            <w:tcW w:type="dxa" w:w="2268"/>
            <w:tcMar>
              <w:top w:w="120" w:type="dxa"/>
              <w:bottom w:w="120" w:type="dxa"/>
              <w:left w:w="150" w:type="dxa"/>
              <w:right w:w="150" w:type="dxa"/>
            </w:tcMar>
          </w:tcPr>
          <w:p>
            <w:pPr>
              <w:spacing w:after="40" w:line="252" w:lineRule="auto"/>
            </w:pPr>
            <w:r>
              <w:rPr>
                <w:rFonts w:ascii="Calibri" w:hAnsi="Calibri"/>
                <w:b/>
                <w:sz w:val="19"/>
              </w:rPr>
              <w:t>Kınama</w:t>
            </w:r>
          </w:p>
        </w:tc>
        <w:tc>
          <w:tcPr>
            <w:tcW w:type="dxa" w:w="2268"/>
            <w:tcMar>
              <w:top w:w="120" w:type="dxa"/>
              <w:bottom w:w="120" w:type="dxa"/>
              <w:left w:w="150" w:type="dxa"/>
              <w:right w:w="150" w:type="dxa"/>
            </w:tcMar>
          </w:tcPr>
          <w:p>
            <w:pPr>
              <w:spacing w:after="40" w:line="252" w:lineRule="auto"/>
            </w:pPr>
            <w:r>
              <w:rPr>
                <w:rFonts w:ascii="Calibri" w:hAnsi="Calibri"/>
                <w:sz w:val="19"/>
              </w:rPr>
              <w:t>Görevi ihmal etme, amirinin işe ilişkin meşru talimatını geciktirme, şirket araçlarını dikkatsiz kullanma</w:t>
            </w:r>
          </w:p>
        </w:tc>
        <w:tc>
          <w:tcPr>
            <w:tcW w:type="dxa" w:w="2268"/>
            <w:tcMar>
              <w:top w:w="120" w:type="dxa"/>
              <w:bottom w:w="120" w:type="dxa"/>
              <w:left w:w="150" w:type="dxa"/>
              <w:right w:w="150" w:type="dxa"/>
            </w:tcMar>
          </w:tcPr>
          <w:p>
            <w:pPr>
              <w:spacing w:after="40" w:line="252" w:lineRule="auto"/>
            </w:pPr>
            <w:r>
              <w:rPr>
                <w:rFonts w:ascii="Calibri" w:hAnsi="Calibri"/>
                <w:sz w:val="19"/>
              </w:rPr>
              <w:t>Terfi ve prim değerlendirmesini etkiler</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3. Derece</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Ücretten Kesme Cezası</w:t>
            </w:r>
            <w:r>
              <w:rPr>
                <w:rFonts w:ascii="Calibri" w:hAnsi="Calibri"/>
                <w:sz w:val="19"/>
              </w:rPr>
              <w:t xml:space="preserve"> </w:t>
            </w:r>
            <w:r>
              <w:rPr>
                <w:rFonts w:ascii="Calibri" w:hAnsi="Calibri"/>
                <w:i/>
                <w:sz w:val="19"/>
              </w:rPr>
              <w:t>(Md. 38)</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Şirket ekipmanına kusurlu zarar verme, işyerinde huzursuzluk çıkarma (Bir ayda 2 günlük kazançtan fazla olamaz)</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Kesinti tutarı Bakanlık hesabına yatırılır</w:t>
            </w:r>
          </w:p>
        </w:tc>
      </w:tr>
      <w:tr>
        <w:tc>
          <w:tcPr>
            <w:tcW w:type="dxa" w:w="2268"/>
            <w:tcMar>
              <w:top w:w="120" w:type="dxa"/>
              <w:bottom w:w="120" w:type="dxa"/>
              <w:left w:w="150" w:type="dxa"/>
              <w:right w:w="150" w:type="dxa"/>
            </w:tcMar>
          </w:tcPr>
          <w:p>
            <w:pPr>
              <w:spacing w:after="40" w:line="252" w:lineRule="auto"/>
            </w:pPr>
            <w:r>
              <w:rPr>
                <w:rFonts w:ascii="Calibri" w:hAnsi="Calibri"/>
                <w:b/>
                <w:sz w:val="19"/>
              </w:rPr>
              <w:t>4. Derece</w:t>
            </w:r>
          </w:p>
        </w:tc>
        <w:tc>
          <w:tcPr>
            <w:tcW w:type="dxa" w:w="2268"/>
            <w:tcMar>
              <w:top w:w="120" w:type="dxa"/>
              <w:bottom w:w="120" w:type="dxa"/>
              <w:left w:w="150" w:type="dxa"/>
              <w:right w:w="150" w:type="dxa"/>
            </w:tcMar>
          </w:tcPr>
          <w:p>
            <w:pPr>
              <w:spacing w:after="40" w:line="252" w:lineRule="auto"/>
            </w:pPr>
            <w:r>
              <w:rPr>
                <w:rFonts w:ascii="Calibri" w:hAnsi="Calibri"/>
                <w:b/>
                <w:sz w:val="19"/>
              </w:rPr>
              <w:t>Geçerli Nedenle Fesih</w:t>
            </w:r>
            <w:r>
              <w:rPr>
                <w:rFonts w:ascii="Calibri" w:hAnsi="Calibri"/>
                <w:sz w:val="19"/>
              </w:rPr>
              <w:t xml:space="preserve"> </w:t>
            </w:r>
            <w:r>
              <w:rPr>
                <w:rFonts w:ascii="Calibri" w:hAnsi="Calibri"/>
                <w:i/>
                <w:sz w:val="19"/>
              </w:rPr>
              <w:t>(Md. 17-18)</w:t>
            </w:r>
          </w:p>
        </w:tc>
        <w:tc>
          <w:tcPr>
            <w:tcW w:type="dxa" w:w="2268"/>
            <w:tcMar>
              <w:top w:w="120" w:type="dxa"/>
              <w:bottom w:w="120" w:type="dxa"/>
              <w:left w:w="150" w:type="dxa"/>
              <w:right w:w="150" w:type="dxa"/>
            </w:tcMar>
          </w:tcPr>
          <w:p>
            <w:pPr>
              <w:spacing w:after="40" w:line="252" w:lineRule="auto"/>
            </w:pPr>
            <w:r>
              <w:rPr>
                <w:rFonts w:ascii="Calibri" w:hAnsi="Calibri"/>
                <w:sz w:val="19"/>
              </w:rPr>
              <w:t>Performans yetersizliği, işyerinin normal işleyişini bozan ve uyarıya rağmen düzelmeyen tutumlar</w:t>
            </w:r>
          </w:p>
        </w:tc>
        <w:tc>
          <w:tcPr>
            <w:tcW w:type="dxa" w:w="2268"/>
            <w:tcMar>
              <w:top w:w="120" w:type="dxa"/>
              <w:bottom w:w="120" w:type="dxa"/>
              <w:left w:w="150" w:type="dxa"/>
              <w:right w:w="150" w:type="dxa"/>
            </w:tcMar>
          </w:tcPr>
          <w:p>
            <w:pPr>
              <w:spacing w:after="40" w:line="252" w:lineRule="auto"/>
            </w:pPr>
            <w:r>
              <w:rPr>
                <w:rFonts w:ascii="Calibri" w:hAnsi="Calibri"/>
                <w:sz w:val="19"/>
              </w:rPr>
              <w:t>İhbar ve kıdem tazminatı ödenir</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5. Derece</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Haklı Nedenle Derhal Fesih</w:t>
            </w:r>
            <w:r>
              <w:rPr>
                <w:rFonts w:ascii="Calibri" w:hAnsi="Calibri"/>
                <w:sz w:val="19"/>
              </w:rPr>
              <w:t xml:space="preserve"> </w:t>
            </w:r>
            <w:r>
              <w:rPr>
                <w:rFonts w:ascii="Calibri" w:hAnsi="Calibri"/>
                <w:i/>
                <w:sz w:val="19"/>
              </w:rPr>
              <w:t>(Md. 25/II)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Hırsızlık, hakaret, sarhoşluk, cinsel taciz, güveni kötüye kullanma, ardı ardına 2 gün mazeretsiz devamsızlık</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Tazminatsız derhal fesih</w:t>
            </w:r>
          </w:p>
        </w:tc>
      </w:tr>
    </w:tbl>
    <w:p>
      <w:pPr>
        <w:spacing w:after="120"/>
      </w:pPr>
    </w:p>
    <w:p>
      <w:pPr>
        <w:spacing w:before="200" w:after="80"/>
      </w:pPr>
      <w:r>
        <w:rPr>
          <w:rFonts w:ascii="Calibri" w:hAnsi="Calibri"/>
          <w:b/>
          <w:color w:val="1E3A8A"/>
          <w:sz w:val="28"/>
        </w:rPr>
        <w:t>4. DİSİPLİN SORUŞTURMASI VE KARAR SÜRECİ ADIMLARI</w:t>
      </w:r>
    </w:p>
    <w:p>
      <w:pPr>
        <w:spacing w:before="160" w:after="60"/>
      </w:pPr>
      <w:r>
        <w:rPr>
          <w:rFonts w:ascii="Calibri" w:hAnsi="Calibri"/>
          <w:b/>
          <w:color w:val="475569"/>
          <w:sz w:val="24"/>
        </w:rPr>
        <w:t>Adım 1: Olay Tespiti ve Tutanak</w:t>
      </w:r>
    </w:p>
    <w:p>
      <w:pPr>
        <w:spacing w:after="80" w:line="276" w:lineRule="auto"/>
      </w:pPr>
      <w:r>
        <w:rPr>
          <w:rFonts w:ascii="Calibri" w:hAnsi="Calibri"/>
        </w:rPr>
        <w:t xml:space="preserve">Kural ihlali tespit edildiğinde, amir veya görgü tanıkları tarafından aynı gün içerisinde somut olay, saat ve şahitleri içeren resmi </w:t>
      </w:r>
      <w:r>
        <w:rPr>
          <w:rFonts w:ascii="Calibri" w:hAnsi="Calibri"/>
          <w:b/>
        </w:rPr>
        <w:t>Olay / Devamsızlık Tutanağı</w:t>
      </w:r>
      <w:r>
        <w:rPr>
          <w:rFonts w:ascii="Calibri" w:hAnsi="Calibri"/>
        </w:rPr>
        <w:t xml:space="preserve"> tanzim edilir ve İK departmanına iletilir.</w:t>
      </w:r>
    </w:p>
    <w:p>
      <w:pPr>
        <w:spacing w:before="160" w:after="60"/>
      </w:pPr>
      <w:r>
        <w:rPr>
          <w:rFonts w:ascii="Calibri" w:hAnsi="Calibri"/>
          <w:b/>
          <w:color w:val="475569"/>
          <w:sz w:val="24"/>
        </w:rPr>
        <w:t>Adım 2: Savunma Talep Yazısı (4857 Md. 19 Uyarınca Zorunlu)</w:t>
      </w:r>
    </w:p>
    <w:p>
      <w:pPr>
        <w:spacing w:after="80" w:line="276" w:lineRule="auto"/>
      </w:pPr>
      <w:r>
        <w:rPr>
          <w:rFonts w:ascii="Calibri" w:hAnsi="Calibri"/>
        </w:rPr>
        <w:t xml:space="preserve">İK tarafından personele isnat edilen fiil açıkça belirtilerek yazılı savunma talep yazısı imza karşılığı veya noter/KEP ile tebliğ edilir. Personele savunmasını hazırlaması için </w:t>
      </w:r>
      <w:r>
        <w:rPr>
          <w:rFonts w:ascii="Calibri" w:hAnsi="Calibri"/>
          <w:b/>
        </w:rPr>
        <w:t>en az 3 (üç) iş günü</w:t>
      </w:r>
      <w:r>
        <w:rPr>
          <w:rFonts w:ascii="Calibri" w:hAnsi="Calibri"/>
        </w:rPr>
        <w:t xml:space="preserve"> süre tanınır. Personel süresi içinde savunma vermezse savunma hakkından vazgeçmiş sayılacağı ihtar edilir.</w:t>
      </w:r>
    </w:p>
    <w:p>
      <w:pPr>
        <w:spacing w:before="160" w:after="60"/>
      </w:pPr>
      <w:r>
        <w:rPr>
          <w:rFonts w:ascii="Calibri" w:hAnsi="Calibri"/>
          <w:b/>
          <w:color w:val="475569"/>
          <w:sz w:val="24"/>
        </w:rPr>
        <w:t>Adım 3: Disiplin Kurulu İncelemesi</w:t>
      </w:r>
    </w:p>
    <w:p>
      <w:pPr>
        <w:spacing w:after="80" w:line="276" w:lineRule="auto"/>
      </w:pPr>
      <w:r>
        <w:rPr>
          <w:rFonts w:ascii="Calibri" w:hAnsi="Calibri"/>
        </w:rPr>
        <w:t>Şirket Disiplin Kurulu (İK Müdürü, İlgili Departman Müdürü, Hukuk Müşaviri ve Çalışan Temsilcisi) toplanarak tutanak, savunma ve delilleri inceler.</w:t>
      </w:r>
    </w:p>
    <w:p>
      <w:pPr>
        <w:spacing w:before="160" w:after="60"/>
      </w:pPr>
      <w:r>
        <w:rPr>
          <w:rFonts w:ascii="Calibri" w:hAnsi="Calibri"/>
          <w:b/>
          <w:color w:val="475569"/>
          <w:sz w:val="24"/>
        </w:rPr>
        <w:t>Adım 4: 6 İş Günü Kuralı (Hak Düşürücü Süre - Md. 26)</w:t>
      </w:r>
    </w:p>
    <w:p>
      <w:pPr>
        <w:spacing w:after="80" w:line="276" w:lineRule="auto"/>
      </w:pPr>
      <w:r>
        <w:rPr>
          <w:rFonts w:ascii="Calibri" w:hAnsi="Calibri"/>
        </w:rPr>
        <w:t xml:space="preserve">Ahlak ve iyi niyet kurallarına aykırılık hallerine (Md. 25/II) dayanan fesih yetkisi, işverenin fiili </w:t>
      </w:r>
      <w:r>
        <w:rPr>
          <w:rFonts w:ascii="Calibri" w:hAnsi="Calibri"/>
          <w:b/>
        </w:rPr>
        <w:t>öğrendiği günden başlayarak 6 iş günü</w:t>
      </w:r>
      <w:r>
        <w:rPr>
          <w:rFonts w:ascii="Calibri" w:hAnsi="Calibri"/>
        </w:rPr>
        <w:t xml:space="preserve"> ve her halde fiilin gerçekleşmesinden itibaren 1 yıl geçtikten sonra kullanılamaz. Bu süre geçtikten sonra yapılan fesihler haksız fesih hükmündedir.</w:t>
      </w:r>
    </w:p>
    <w:p>
      <w:pPr>
        <w:spacing w:before="160" w:after="60"/>
      </w:pPr>
      <w:r>
        <w:rPr>
          <w:rFonts w:ascii="Calibri" w:hAnsi="Calibri"/>
          <w:b/>
          <w:color w:val="475569"/>
          <w:sz w:val="24"/>
        </w:rPr>
        <w:t>Adım 5: Kararın Tebliği</w:t>
      </w:r>
    </w:p>
    <w:p>
      <w:pPr>
        <w:spacing w:after="80" w:line="276" w:lineRule="auto"/>
      </w:pPr>
      <w:r>
        <w:rPr>
          <w:rFonts w:ascii="Calibri" w:hAnsi="Calibri"/>
        </w:rPr>
        <w:t>Alınan disiplin kararı personele gerekçesiyle birlikte yazılı olarak imza karşılığı tebliğ edilir. Personel imzalamaktan imtina ederse iki şahit huzurunda tebellüğden imtina şerhi düşülür.</w:t>
      </w:r>
    </w:p>
    <w:p>
      <w:pPr>
        <w:spacing w:before="200" w:after="80"/>
      </w:pPr>
      <w:r>
        <w:rPr>
          <w:rFonts w:ascii="Calibri" w:hAnsi="Calibri"/>
          <w:b/>
          <w:color w:val="1E3A8A"/>
          <w:sz w:val="28"/>
        </w:rPr>
        <w:t>5. DİSİPLİN CEZA CETVELİ (FİİL - CEZA EŞLEŞTİRMESİ)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Fiil</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Ceza Derecesi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Açıklama / Uygulama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Mesaiye mazeretsiz geç gelme (ayrı ayrı 3 kez)</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1. Derece — Yazılı Uyarı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İhtar, sicil dosyasına işlenir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19</w:t>
            </w:r>
          </w:p>
        </w:tc>
      </w:tr>
      <w:tr>
        <w:tc>
          <w:tcPr>
            <w:tcW w:type="dxa" w:w="2268"/>
            <w:tcMar>
              <w:top w:w="120" w:type="dxa"/>
              <w:bottom w:w="120" w:type="dxa"/>
              <w:left w:w="150" w:type="dxa"/>
              <w:right w:w="150" w:type="dxa"/>
            </w:tcMar>
          </w:tcPr>
          <w:p>
            <w:pPr>
              <w:spacing w:after="40" w:line="252" w:lineRule="auto"/>
            </w:pPr>
            <w:r>
              <w:rPr>
                <w:rFonts w:ascii="Calibri" w:hAnsi="Calibri"/>
                <w:sz w:val="19"/>
              </w:rPr>
              <w:t>Kılık-kıyafet ve KKD kurallarına uymama</w:t>
            </w:r>
          </w:p>
        </w:tc>
        <w:tc>
          <w:tcPr>
            <w:tcW w:type="dxa" w:w="2268"/>
            <w:tcMar>
              <w:top w:w="120" w:type="dxa"/>
              <w:bottom w:w="120" w:type="dxa"/>
              <w:left w:w="150" w:type="dxa"/>
              <w:right w:w="150" w:type="dxa"/>
            </w:tcMar>
          </w:tcPr>
          <w:p>
            <w:pPr>
              <w:spacing w:after="40" w:line="252" w:lineRule="auto"/>
            </w:pPr>
            <w:r>
              <w:rPr>
                <w:rFonts w:ascii="Calibri" w:hAnsi="Calibri"/>
                <w:sz w:val="19"/>
              </w:rPr>
              <w:t>1. Derece — Yazılı Uyarı</w:t>
            </w:r>
          </w:p>
        </w:tc>
        <w:tc>
          <w:tcPr>
            <w:tcW w:type="dxa" w:w="2268"/>
            <w:tcMar>
              <w:top w:w="120" w:type="dxa"/>
              <w:bottom w:w="120" w:type="dxa"/>
              <w:left w:w="150" w:type="dxa"/>
              <w:right w:w="150" w:type="dxa"/>
            </w:tcMar>
          </w:tcPr>
          <w:p>
            <w:pPr>
              <w:spacing w:after="40" w:line="252" w:lineRule="auto"/>
            </w:pPr>
            <w:r>
              <w:rPr>
                <w:rFonts w:ascii="Calibri" w:hAnsi="Calibri"/>
                <w:sz w:val="19"/>
              </w:rPr>
              <w:t>Tekrarda kınama</w:t>
            </w:r>
          </w:p>
        </w:tc>
        <w:tc>
          <w:tcPr>
            <w:tcW w:type="dxa" w:w="2268"/>
            <w:tcMar>
              <w:top w:w="120" w:type="dxa"/>
              <w:bottom w:w="120" w:type="dxa"/>
              <w:left w:w="150" w:type="dxa"/>
              <w:right w:w="150" w:type="dxa"/>
            </w:tcMar>
          </w:tcPr>
          <w:p>
            <w:pPr>
              <w:spacing w:after="40" w:line="252" w:lineRule="auto"/>
            </w:pPr>
            <w:r>
              <w:rPr>
                <w:rFonts w:ascii="Calibri" w:hAnsi="Calibri"/>
                <w:sz w:val="19"/>
              </w:rPr>
              <w:t>6331 Md. 19</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Görev yerini izinsiz terk etme (kısa süreli)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1. Derece — Yazılı Uyarı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Tekrarda 2. derece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19</w:t>
            </w:r>
          </w:p>
        </w:tc>
      </w:tr>
      <w:tr>
        <w:tc>
          <w:tcPr>
            <w:tcW w:type="dxa" w:w="2268"/>
            <w:tcMar>
              <w:top w:w="120" w:type="dxa"/>
              <w:bottom w:w="120" w:type="dxa"/>
              <w:left w:w="150" w:type="dxa"/>
              <w:right w:w="150" w:type="dxa"/>
            </w:tcMar>
          </w:tcPr>
          <w:p>
            <w:pPr>
              <w:spacing w:after="40" w:line="252" w:lineRule="auto"/>
            </w:pPr>
            <w:r>
              <w:rPr>
                <w:rFonts w:ascii="Calibri" w:hAnsi="Calibri"/>
                <w:sz w:val="19"/>
              </w:rPr>
              <w:t>İşyeri düzenini bozma, gürültü, kavga (hafif)</w:t>
            </w:r>
          </w:p>
        </w:tc>
        <w:tc>
          <w:tcPr>
            <w:tcW w:type="dxa" w:w="2268"/>
            <w:tcMar>
              <w:top w:w="120" w:type="dxa"/>
              <w:bottom w:w="120" w:type="dxa"/>
              <w:left w:w="150" w:type="dxa"/>
              <w:right w:w="150" w:type="dxa"/>
            </w:tcMar>
          </w:tcPr>
          <w:p>
            <w:pPr>
              <w:spacing w:after="40" w:line="252" w:lineRule="auto"/>
            </w:pPr>
            <w:r>
              <w:rPr>
                <w:rFonts w:ascii="Calibri" w:hAnsi="Calibri"/>
                <w:sz w:val="19"/>
              </w:rPr>
              <w:t>2. Derece — Kınama</w:t>
            </w:r>
          </w:p>
        </w:tc>
        <w:tc>
          <w:tcPr>
            <w:tcW w:type="dxa" w:w="2268"/>
            <w:tcMar>
              <w:top w:w="120" w:type="dxa"/>
              <w:bottom w:w="120" w:type="dxa"/>
              <w:left w:w="150" w:type="dxa"/>
              <w:right w:w="150" w:type="dxa"/>
            </w:tcMar>
          </w:tcPr>
          <w:p>
            <w:pPr>
              <w:spacing w:after="40" w:line="252" w:lineRule="auto"/>
            </w:pPr>
            <w:r>
              <w:rPr>
                <w:rFonts w:ascii="Calibri" w:hAnsi="Calibri"/>
                <w:sz w:val="19"/>
              </w:rPr>
              <w:t>Terfi/prim değerlendirmesine etki</w:t>
            </w:r>
          </w:p>
        </w:tc>
        <w:tc>
          <w:tcPr>
            <w:tcW w:type="dxa" w:w="2268"/>
            <w:tcMar>
              <w:top w:w="120" w:type="dxa"/>
              <w:bottom w:w="120" w:type="dxa"/>
              <w:left w:w="150" w:type="dxa"/>
              <w:right w:w="150" w:type="dxa"/>
            </w:tcMar>
          </w:tcPr>
          <w:p>
            <w:pPr>
              <w:spacing w:after="40" w:line="252" w:lineRule="auto"/>
            </w:pPr>
            <w:r>
              <w:rPr>
                <w:rFonts w:ascii="Calibri" w:hAnsi="Calibri"/>
                <w:sz w:val="19"/>
              </w:rPr>
              <w:t>4857 Md. 19</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Amir talimatını geçerli sebep olmadan geciktirme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2. Derece — Kınama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Yazılı savunma zorunlu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19</w:t>
            </w:r>
          </w:p>
        </w:tc>
      </w:tr>
      <w:tr>
        <w:tc>
          <w:tcPr>
            <w:tcW w:type="dxa" w:w="2268"/>
            <w:tcMar>
              <w:top w:w="120" w:type="dxa"/>
              <w:bottom w:w="120" w:type="dxa"/>
              <w:left w:w="150" w:type="dxa"/>
              <w:right w:w="150" w:type="dxa"/>
            </w:tcMar>
          </w:tcPr>
          <w:p>
            <w:pPr>
              <w:spacing w:after="40" w:line="252" w:lineRule="auto"/>
            </w:pPr>
            <w:r>
              <w:rPr>
                <w:rFonts w:ascii="Calibri" w:hAnsi="Calibri"/>
                <w:sz w:val="19"/>
              </w:rPr>
              <w:t>İş güvenliği talimatını ihlal etme (kural tekrarı)</w:t>
            </w:r>
          </w:p>
        </w:tc>
        <w:tc>
          <w:tcPr>
            <w:tcW w:type="dxa" w:w="2268"/>
            <w:tcMar>
              <w:top w:w="120" w:type="dxa"/>
              <w:bottom w:w="120" w:type="dxa"/>
              <w:left w:w="150" w:type="dxa"/>
              <w:right w:w="150" w:type="dxa"/>
            </w:tcMar>
          </w:tcPr>
          <w:p>
            <w:pPr>
              <w:spacing w:after="40" w:line="252" w:lineRule="auto"/>
            </w:pPr>
            <w:r>
              <w:rPr>
                <w:rFonts w:ascii="Calibri" w:hAnsi="Calibri"/>
                <w:sz w:val="19"/>
              </w:rPr>
              <w:t>2. Derece — Kınama</w:t>
            </w:r>
          </w:p>
        </w:tc>
        <w:tc>
          <w:tcPr>
            <w:tcW w:type="dxa" w:w="2268"/>
            <w:tcMar>
              <w:top w:w="120" w:type="dxa"/>
              <w:bottom w:w="120" w:type="dxa"/>
              <w:left w:w="150" w:type="dxa"/>
              <w:right w:w="150" w:type="dxa"/>
            </w:tcMar>
          </w:tcPr>
          <w:p>
            <w:pPr>
              <w:spacing w:after="40" w:line="252" w:lineRule="auto"/>
            </w:pPr>
            <w:r>
              <w:rPr>
                <w:rFonts w:ascii="Calibri" w:hAnsi="Calibri"/>
                <w:sz w:val="19"/>
              </w:rPr>
              <w:t>Tekrarda 3. derece</w:t>
            </w:r>
          </w:p>
        </w:tc>
        <w:tc>
          <w:tcPr>
            <w:tcW w:type="dxa" w:w="2268"/>
            <w:tcMar>
              <w:top w:w="120" w:type="dxa"/>
              <w:bottom w:w="120" w:type="dxa"/>
              <w:left w:w="150" w:type="dxa"/>
              <w:right w:w="150" w:type="dxa"/>
            </w:tcMar>
          </w:tcPr>
          <w:p>
            <w:pPr>
              <w:spacing w:after="40" w:line="252" w:lineRule="auto"/>
            </w:pPr>
            <w:r>
              <w:rPr>
                <w:rFonts w:ascii="Calibri" w:hAnsi="Calibri"/>
                <w:sz w:val="19"/>
              </w:rPr>
              <w:t>6331 Md. 19, 28</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Şirket ekipmanına kusurlu zarar verme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3. Derece — Ücretten Kesme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Aylık kesinti, iki günlük ücreti aşamaz</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38</w:t>
            </w:r>
          </w:p>
        </w:tc>
      </w:tr>
      <w:tr>
        <w:tc>
          <w:tcPr>
            <w:tcW w:type="dxa" w:w="2268"/>
            <w:tcMar>
              <w:top w:w="120" w:type="dxa"/>
              <w:bottom w:w="120" w:type="dxa"/>
              <w:left w:w="150" w:type="dxa"/>
              <w:right w:w="150" w:type="dxa"/>
            </w:tcMar>
          </w:tcPr>
          <w:p>
            <w:pPr>
              <w:spacing w:after="40" w:line="252" w:lineRule="auto"/>
            </w:pPr>
            <w:r>
              <w:rPr>
                <w:rFonts w:ascii="Calibri" w:hAnsi="Calibri"/>
                <w:sz w:val="19"/>
              </w:rPr>
              <w:t>İşyerinde huzursuzluk çıkarma (tekrar)</w:t>
            </w:r>
          </w:p>
        </w:tc>
        <w:tc>
          <w:tcPr>
            <w:tcW w:type="dxa" w:w="2268"/>
            <w:tcMar>
              <w:top w:w="120" w:type="dxa"/>
              <w:bottom w:w="120" w:type="dxa"/>
              <w:left w:w="150" w:type="dxa"/>
              <w:right w:w="150" w:type="dxa"/>
            </w:tcMar>
          </w:tcPr>
          <w:p>
            <w:pPr>
              <w:spacing w:after="40" w:line="252" w:lineRule="auto"/>
            </w:pPr>
            <w:r>
              <w:rPr>
                <w:rFonts w:ascii="Calibri" w:hAnsi="Calibri"/>
                <w:sz w:val="19"/>
              </w:rPr>
              <w:t>3. Derece — Ücretten Kesme</w:t>
            </w:r>
          </w:p>
        </w:tc>
        <w:tc>
          <w:tcPr>
            <w:tcW w:type="dxa" w:w="2268"/>
            <w:tcMar>
              <w:top w:w="120" w:type="dxa"/>
              <w:bottom w:w="120" w:type="dxa"/>
              <w:left w:w="150" w:type="dxa"/>
              <w:right w:w="150" w:type="dxa"/>
            </w:tcMar>
          </w:tcPr>
          <w:p>
            <w:pPr>
              <w:spacing w:after="40" w:line="252" w:lineRule="auto"/>
            </w:pPr>
            <w:r>
              <w:rPr>
                <w:rFonts w:ascii="Calibri" w:hAnsi="Calibri"/>
                <w:sz w:val="19"/>
              </w:rPr>
              <w:t>Kesinti Bakanlık hesabına yatırılır</w:t>
            </w:r>
          </w:p>
        </w:tc>
        <w:tc>
          <w:tcPr>
            <w:tcW w:type="dxa" w:w="2268"/>
            <w:tcMar>
              <w:top w:w="120" w:type="dxa"/>
              <w:bottom w:w="120" w:type="dxa"/>
              <w:left w:w="150" w:type="dxa"/>
              <w:right w:w="150" w:type="dxa"/>
            </w:tcMar>
          </w:tcPr>
          <w:p>
            <w:pPr>
              <w:spacing w:after="40" w:line="252" w:lineRule="auto"/>
            </w:pPr>
            <w:r>
              <w:rPr>
                <w:rFonts w:ascii="Calibri" w:hAnsi="Calibri"/>
                <w:sz w:val="19"/>
              </w:rPr>
              <w:t>4857 Md. 38</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Performans yetersizliği (PIP'e rağmen iyileşmeme)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 Derece — Geçerli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İhbar + kıdem ödenir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17-18</w:t>
            </w:r>
          </w:p>
        </w:tc>
      </w:tr>
      <w:tr>
        <w:tc>
          <w:tcPr>
            <w:tcW w:type="dxa" w:w="2268"/>
            <w:tcMar>
              <w:top w:w="120" w:type="dxa"/>
              <w:bottom w:w="120" w:type="dxa"/>
              <w:left w:w="150" w:type="dxa"/>
              <w:right w:w="150" w:type="dxa"/>
            </w:tcMar>
          </w:tcPr>
          <w:p>
            <w:pPr>
              <w:spacing w:after="40" w:line="252" w:lineRule="auto"/>
            </w:pPr>
            <w:r>
              <w:rPr>
                <w:rFonts w:ascii="Calibri" w:hAnsi="Calibri"/>
                <w:sz w:val="19"/>
              </w:rPr>
              <w:t>Sarhoşluk / uyuşturucu madde kullanımı</w:t>
            </w:r>
          </w:p>
        </w:tc>
        <w:tc>
          <w:tcPr>
            <w:tcW w:type="dxa" w:w="2268"/>
            <w:tcMar>
              <w:top w:w="120" w:type="dxa"/>
              <w:bottom w:w="120" w:type="dxa"/>
              <w:left w:w="150" w:type="dxa"/>
              <w:right w:w="150" w:type="dxa"/>
            </w:tcMar>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tcPr>
          <w:p>
            <w:pPr>
              <w:spacing w:after="40" w:line="252" w:lineRule="auto"/>
            </w:pPr>
            <w:r>
              <w:rPr>
                <w:rFonts w:ascii="Calibri" w:hAnsi="Calibri"/>
                <w:sz w:val="19"/>
              </w:rPr>
              <w:t>Tazminatsız derhal fesih</w:t>
            </w:r>
          </w:p>
        </w:tc>
        <w:tc>
          <w:tcPr>
            <w:tcW w:type="dxa" w:w="2268"/>
            <w:tcMar>
              <w:top w:w="120" w:type="dxa"/>
              <w:bottom w:w="120" w:type="dxa"/>
              <w:left w:w="150" w:type="dxa"/>
              <w:right w:w="150" w:type="dxa"/>
            </w:tcMar>
          </w:tcPr>
          <w:p>
            <w:pPr>
              <w:spacing w:after="40" w:line="252" w:lineRule="auto"/>
            </w:pPr>
            <w:r>
              <w:rPr>
                <w:rFonts w:ascii="Calibri" w:hAnsi="Calibri"/>
                <w:sz w:val="19"/>
              </w:rPr>
              <w:t>4857 Md. 25/II-d</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Hırsızlık, zimmet, güveni kötüye kullanma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Suç duyurusu + tazminatsız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25/II-e; TCK</w:t>
            </w:r>
          </w:p>
        </w:tc>
      </w:tr>
      <w:tr>
        <w:tc>
          <w:tcPr>
            <w:tcW w:type="dxa" w:w="2268"/>
            <w:tcMar>
              <w:top w:w="120" w:type="dxa"/>
              <w:bottom w:w="120" w:type="dxa"/>
              <w:left w:w="150" w:type="dxa"/>
              <w:right w:w="150" w:type="dxa"/>
            </w:tcMar>
          </w:tcPr>
          <w:p>
            <w:pPr>
              <w:spacing w:after="40" w:line="252" w:lineRule="auto"/>
            </w:pPr>
            <w:r>
              <w:rPr>
                <w:rFonts w:ascii="Calibri" w:hAnsi="Calibri"/>
                <w:sz w:val="19"/>
              </w:rPr>
              <w:t>Hakaret, tehdit, cinsel taciz</w:t>
            </w:r>
          </w:p>
        </w:tc>
        <w:tc>
          <w:tcPr>
            <w:tcW w:type="dxa" w:w="2268"/>
            <w:tcMar>
              <w:top w:w="120" w:type="dxa"/>
              <w:bottom w:w="120" w:type="dxa"/>
              <w:left w:w="150" w:type="dxa"/>
              <w:right w:w="150" w:type="dxa"/>
            </w:tcMar>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tcPr>
          <w:p>
            <w:pPr>
              <w:spacing w:after="40" w:line="252" w:lineRule="auto"/>
            </w:pPr>
            <w:r>
              <w:rPr>
                <w:rFonts w:ascii="Calibri" w:hAnsi="Calibri"/>
                <w:sz w:val="19"/>
              </w:rPr>
              <w:t>Suç duyurusu, mobbing iddiasına karşı titiz süreç</w:t>
            </w:r>
          </w:p>
        </w:tc>
        <w:tc>
          <w:tcPr>
            <w:tcW w:type="dxa" w:w="2268"/>
            <w:tcMar>
              <w:top w:w="120" w:type="dxa"/>
              <w:bottom w:w="120" w:type="dxa"/>
              <w:left w:w="150" w:type="dxa"/>
              <w:right w:w="150" w:type="dxa"/>
            </w:tcMar>
          </w:tcPr>
          <w:p>
            <w:pPr>
              <w:spacing w:after="40" w:line="252" w:lineRule="auto"/>
            </w:pPr>
            <w:r>
              <w:rPr>
                <w:rFonts w:ascii="Calibri" w:hAnsi="Calibri"/>
                <w:sz w:val="19"/>
              </w:rPr>
              <w:t>4857 Md. 25/II-c; TCK Md. 105</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Mazeretsiz devamsızlık</w:t>
            </w:r>
            <w:r>
              <w:rPr>
                <w:rFonts w:ascii="Calibri" w:hAnsi="Calibri"/>
                <w:sz w:val="19"/>
              </w:rPr>
              <w:t xml:space="preserve"> (ardı ardına 2 işgünü / ayda 3 işgünü / tatil sonrası 2 gün)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Devamsızlık tutanağı + savunma ihtarı şart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25/II-g</w:t>
            </w:r>
          </w:p>
        </w:tc>
      </w:tr>
      <w:tr>
        <w:tc>
          <w:tcPr>
            <w:tcW w:type="dxa" w:w="2268"/>
            <w:tcMar>
              <w:top w:w="120" w:type="dxa"/>
              <w:bottom w:w="120" w:type="dxa"/>
              <w:left w:w="150" w:type="dxa"/>
              <w:right w:w="150" w:type="dxa"/>
            </w:tcMar>
          </w:tcPr>
          <w:p>
            <w:pPr>
              <w:spacing w:after="40" w:line="252" w:lineRule="auto"/>
            </w:pPr>
            <w:r>
              <w:rPr>
                <w:rFonts w:ascii="Calibri" w:hAnsi="Calibri"/>
                <w:sz w:val="19"/>
              </w:rPr>
              <w:t>İşverenin ticari sırlarını paylaşma</w:t>
            </w:r>
          </w:p>
        </w:tc>
        <w:tc>
          <w:tcPr>
            <w:tcW w:type="dxa" w:w="2268"/>
            <w:tcMar>
              <w:top w:w="120" w:type="dxa"/>
              <w:bottom w:w="120" w:type="dxa"/>
              <w:left w:w="150" w:type="dxa"/>
              <w:right w:w="150" w:type="dxa"/>
            </w:tcMar>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tcPr>
          <w:p>
            <w:pPr>
              <w:spacing w:after="40" w:line="252" w:lineRule="auto"/>
            </w:pPr>
            <w:r>
              <w:rPr>
                <w:rFonts w:ascii="Calibri" w:hAnsi="Calibri"/>
                <w:sz w:val="19"/>
              </w:rPr>
              <w:t>Cezai şart + tazminat talebi</w:t>
            </w:r>
          </w:p>
        </w:tc>
        <w:tc>
          <w:tcPr>
            <w:tcW w:type="dxa" w:w="2268"/>
            <w:tcMar>
              <w:top w:w="120" w:type="dxa"/>
              <w:bottom w:w="120" w:type="dxa"/>
              <w:left w:w="150" w:type="dxa"/>
              <w:right w:w="150" w:type="dxa"/>
            </w:tcMar>
          </w:tcPr>
          <w:p>
            <w:pPr>
              <w:spacing w:after="40" w:line="252" w:lineRule="auto"/>
            </w:pPr>
            <w:r>
              <w:rPr>
                <w:rFonts w:ascii="Calibri" w:hAnsi="Calibri"/>
                <w:sz w:val="19"/>
              </w:rPr>
              <w:t>4857 Md. 25/II-e; TBK Md. 179</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İşe gelirken/çalışırken işyerine silah sokma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5. Derece — Haklı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Suç duyurusu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25/II-d</w:t>
            </w:r>
          </w:p>
        </w:tc>
      </w:tr>
    </w:tbl>
    <w:p>
      <w:pPr>
        <w:spacing w:after="120"/>
      </w:pPr>
    </w:p>
    <w:p>
      <w:pPr>
        <w:spacing w:before="80" w:after="120"/>
        <w:ind w:left="576"/>
      </w:pPr>
      <w:r>
        <w:rPr>
          <w:rFonts w:ascii="Calibri" w:hAnsi="Calibri"/>
          <w:i/>
          <w:color w:val="64748B"/>
          <w:sz w:val="21"/>
        </w:rPr>
        <w:t>Usul Kuralı: 1., 2. ve 3. derece cezaların uygulanabilmesi için fiilin işyeri iç yönetmeliğinde/talimatında açıkça tanımlanmış olması ve çalışandan yazılı savunma alınmış olması gerekir. Aksi halde ceza iptal edilebilir.</w:t>
      </w:r>
    </w:p>
    <w:p>
      <w:pPr>
        <w:spacing w:before="200" w:after="80"/>
      </w:pPr>
      <w:r>
        <w:rPr>
          <w:rFonts w:ascii="Calibri" w:hAnsi="Calibri"/>
          <w:b/>
          <w:color w:val="1E3A8A"/>
          <w:sz w:val="28"/>
        </w:rPr>
        <w:t>6. DİSİPLİN SORUŞTURMASI USULÜ (DETAY)</w:t>
      </w:r>
    </w:p>
    <w:p>
      <w:pPr>
        <w:spacing w:before="160" w:after="60"/>
      </w:pPr>
      <w:r>
        <w:rPr>
          <w:rFonts w:ascii="Calibri" w:hAnsi="Calibri"/>
          <w:b/>
          <w:color w:val="475569"/>
          <w:sz w:val="24"/>
        </w:rPr>
        <w:t>6.1 Soruşturma Takvimi ve Süreleri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Aşama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Yapılacak İşlem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Süre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Olayın öğrenilmesi ve tutanak tanzimi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Aynı gün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Birim amiri / Görgü tanıkları</w:t>
            </w:r>
          </w:p>
        </w:tc>
      </w:tr>
      <w:tr>
        <w:tc>
          <w:tcPr>
            <w:tcW w:type="dxa" w:w="2268"/>
            <w:tcMar>
              <w:top w:w="120" w:type="dxa"/>
              <w:bottom w:w="120" w:type="dxa"/>
              <w:left w:w="150" w:type="dxa"/>
              <w:right w:w="150" w:type="dxa"/>
            </w:tcMar>
          </w:tcPr>
          <w:p>
            <w:pPr>
              <w:spacing w:after="40" w:line="252" w:lineRule="auto"/>
            </w:pPr>
            <w:r>
              <w:rPr>
                <w:rFonts w:ascii="Calibri" w:hAnsi="Calibri"/>
                <w:sz w:val="19"/>
              </w:rPr>
              <w:t>2</w:t>
            </w:r>
          </w:p>
        </w:tc>
        <w:tc>
          <w:tcPr>
            <w:tcW w:type="dxa" w:w="2268"/>
            <w:tcMar>
              <w:top w:w="120" w:type="dxa"/>
              <w:bottom w:w="120" w:type="dxa"/>
              <w:left w:w="150" w:type="dxa"/>
              <w:right w:w="150" w:type="dxa"/>
            </w:tcMar>
          </w:tcPr>
          <w:p>
            <w:pPr>
              <w:spacing w:after="40" w:line="252" w:lineRule="auto"/>
            </w:pPr>
            <w:r>
              <w:rPr>
                <w:rFonts w:ascii="Calibri" w:hAnsi="Calibri"/>
                <w:sz w:val="19"/>
              </w:rPr>
              <w:t>İK'ya bildirim ve dosya açma</w:t>
            </w:r>
          </w:p>
        </w:tc>
        <w:tc>
          <w:tcPr>
            <w:tcW w:type="dxa" w:w="2268"/>
            <w:tcMar>
              <w:top w:w="120" w:type="dxa"/>
              <w:bottom w:w="120" w:type="dxa"/>
              <w:left w:w="150" w:type="dxa"/>
              <w:right w:w="150" w:type="dxa"/>
            </w:tcMar>
          </w:tcPr>
          <w:p>
            <w:pPr>
              <w:spacing w:after="40" w:line="252" w:lineRule="auto"/>
            </w:pPr>
            <w:r>
              <w:rPr>
                <w:rFonts w:ascii="Calibri" w:hAnsi="Calibri"/>
                <w:sz w:val="19"/>
              </w:rPr>
              <w:t>En çok 1 iş günü</w:t>
            </w:r>
          </w:p>
        </w:tc>
        <w:tc>
          <w:tcPr>
            <w:tcW w:type="dxa" w:w="2268"/>
            <w:tcMar>
              <w:top w:w="120" w:type="dxa"/>
              <w:bottom w:w="120" w:type="dxa"/>
              <w:left w:w="150" w:type="dxa"/>
              <w:right w:w="150" w:type="dxa"/>
            </w:tcMar>
          </w:tcPr>
          <w:p>
            <w:pPr>
              <w:spacing w:after="40" w:line="252" w:lineRule="auto"/>
            </w:pPr>
            <w:r>
              <w:rPr>
                <w:rFonts w:ascii="Calibri" w:hAnsi="Calibri"/>
                <w:sz w:val="19"/>
              </w:rPr>
              <w:t>Birim amiri</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Yazılı savunma talep yazısının tebliği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En çok 2 iş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w:t>
            </w:r>
          </w:p>
        </w:tc>
      </w:tr>
      <w:tr>
        <w:tc>
          <w:tcPr>
            <w:tcW w:type="dxa" w:w="2268"/>
            <w:tcMar>
              <w:top w:w="120" w:type="dxa"/>
              <w:bottom w:w="120" w:type="dxa"/>
              <w:left w:w="150" w:type="dxa"/>
              <w:right w:w="150" w:type="dxa"/>
            </w:tcMar>
          </w:tcPr>
          <w:p>
            <w:pPr>
              <w:spacing w:after="40" w:line="252" w:lineRule="auto"/>
            </w:pPr>
            <w:r>
              <w:rPr>
                <w:rFonts w:ascii="Calibri" w:hAnsi="Calibri"/>
                <w:sz w:val="19"/>
              </w:rPr>
              <w:t>4</w:t>
            </w:r>
          </w:p>
        </w:tc>
        <w:tc>
          <w:tcPr>
            <w:tcW w:type="dxa" w:w="2268"/>
            <w:tcMar>
              <w:top w:w="120" w:type="dxa"/>
              <w:bottom w:w="120" w:type="dxa"/>
              <w:left w:w="150" w:type="dxa"/>
              <w:right w:w="150" w:type="dxa"/>
            </w:tcMar>
          </w:tcPr>
          <w:p>
            <w:pPr>
              <w:spacing w:after="40" w:line="252" w:lineRule="auto"/>
            </w:pPr>
            <w:r>
              <w:rPr>
                <w:rFonts w:ascii="Calibri" w:hAnsi="Calibri"/>
                <w:sz w:val="19"/>
              </w:rPr>
              <w:t>Çalışanın savunma verme süresi</w:t>
            </w:r>
          </w:p>
        </w:tc>
        <w:tc>
          <w:tcPr>
            <w:tcW w:type="dxa" w:w="2268"/>
            <w:tcMar>
              <w:top w:w="120" w:type="dxa"/>
              <w:bottom w:w="120" w:type="dxa"/>
              <w:left w:w="150" w:type="dxa"/>
              <w:right w:w="150" w:type="dxa"/>
            </w:tcMar>
          </w:tcPr>
          <w:p>
            <w:pPr>
              <w:spacing w:after="40" w:line="252" w:lineRule="auto"/>
            </w:pPr>
            <w:r>
              <w:rPr>
                <w:rFonts w:ascii="Calibri" w:hAnsi="Calibri"/>
                <w:b/>
                <w:sz w:val="19"/>
              </w:rPr>
              <w:t>En az 3 iş günü</w:t>
            </w:r>
          </w:p>
        </w:tc>
        <w:tc>
          <w:tcPr>
            <w:tcW w:type="dxa" w:w="2268"/>
            <w:tcMar>
              <w:top w:w="120" w:type="dxa"/>
              <w:bottom w:w="120" w:type="dxa"/>
              <w:left w:w="150" w:type="dxa"/>
              <w:right w:w="150" w:type="dxa"/>
            </w:tcMar>
          </w:tcPr>
          <w:p>
            <w:pPr>
              <w:spacing w:after="40" w:line="252" w:lineRule="auto"/>
            </w:pPr>
            <w:r>
              <w:rPr>
                <w:rFonts w:ascii="Calibri" w:hAnsi="Calibri"/>
                <w:sz w:val="19"/>
              </w:rPr>
              <w:t>Çalışan</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5</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Delil toplama, tanık ifadeleri, kamera/log incelemesi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3 iş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 BT / Hukuk</w:t>
            </w:r>
          </w:p>
        </w:tc>
      </w:tr>
      <w:tr>
        <w:tc>
          <w:tcPr>
            <w:tcW w:type="dxa" w:w="2268"/>
            <w:tcMar>
              <w:top w:w="120" w:type="dxa"/>
              <w:bottom w:w="120" w:type="dxa"/>
              <w:left w:w="150" w:type="dxa"/>
              <w:right w:w="150" w:type="dxa"/>
            </w:tcMar>
          </w:tcPr>
          <w:p>
            <w:pPr>
              <w:spacing w:after="40" w:line="252" w:lineRule="auto"/>
            </w:pPr>
            <w:r>
              <w:rPr>
                <w:rFonts w:ascii="Calibri" w:hAnsi="Calibri"/>
                <w:sz w:val="19"/>
              </w:rPr>
              <w:t>6</w:t>
            </w:r>
          </w:p>
        </w:tc>
        <w:tc>
          <w:tcPr>
            <w:tcW w:type="dxa" w:w="2268"/>
            <w:tcMar>
              <w:top w:w="120" w:type="dxa"/>
              <w:bottom w:w="120" w:type="dxa"/>
              <w:left w:w="150" w:type="dxa"/>
              <w:right w:w="150" w:type="dxa"/>
            </w:tcMar>
          </w:tcPr>
          <w:p>
            <w:pPr>
              <w:spacing w:after="40" w:line="252" w:lineRule="auto"/>
            </w:pPr>
            <w:r>
              <w:rPr>
                <w:rFonts w:ascii="Calibri" w:hAnsi="Calibri"/>
                <w:sz w:val="19"/>
              </w:rPr>
              <w:t>Disiplin Kurulu toplantısı ve karar</w:t>
            </w:r>
          </w:p>
        </w:tc>
        <w:tc>
          <w:tcPr>
            <w:tcW w:type="dxa" w:w="2268"/>
            <w:tcMar>
              <w:top w:w="120" w:type="dxa"/>
              <w:bottom w:w="120" w:type="dxa"/>
              <w:left w:w="150" w:type="dxa"/>
              <w:right w:w="150" w:type="dxa"/>
            </w:tcMar>
          </w:tcPr>
          <w:p>
            <w:pPr>
              <w:spacing w:after="40" w:line="252" w:lineRule="auto"/>
            </w:pPr>
            <w:r>
              <w:rPr>
                <w:rFonts w:ascii="Calibri" w:hAnsi="Calibri"/>
                <w:sz w:val="19"/>
              </w:rPr>
              <w:t>2 iş günü</w:t>
            </w:r>
          </w:p>
        </w:tc>
        <w:tc>
          <w:tcPr>
            <w:tcW w:type="dxa" w:w="2268"/>
            <w:tcMar>
              <w:top w:w="120" w:type="dxa"/>
              <w:bottom w:w="120" w:type="dxa"/>
              <w:left w:w="150" w:type="dxa"/>
              <w:right w:w="150" w:type="dxa"/>
            </w:tcMar>
          </w:tcPr>
          <w:p>
            <w:pPr>
              <w:spacing w:after="40" w:line="252" w:lineRule="auto"/>
            </w:pPr>
            <w:r>
              <w:rPr>
                <w:rFonts w:ascii="Calibri" w:hAnsi="Calibri"/>
                <w:sz w:val="19"/>
              </w:rPr>
              <w:t>Kurul</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7</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Kararın tebliği ve imza/İmtina şerhi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1 iş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w:t>
            </w:r>
          </w:p>
        </w:tc>
      </w:tr>
      <w:tr>
        <w:tc>
          <w:tcPr>
            <w:tcW w:type="dxa" w:w="2268"/>
            <w:tcMar>
              <w:top w:w="120" w:type="dxa"/>
              <w:bottom w:w="120" w:type="dxa"/>
              <w:left w:w="150" w:type="dxa"/>
              <w:right w:w="150" w:type="dxa"/>
            </w:tcMar>
          </w:tcPr>
          <w:p>
            <w:pPr>
              <w:spacing w:after="40" w:line="252" w:lineRule="auto"/>
            </w:pPr>
            <w:r>
              <w:rPr>
                <w:rFonts w:ascii="Calibri" w:hAnsi="Calibri"/>
                <w:sz w:val="19"/>
              </w:rPr>
              <w:t>8</w:t>
            </w:r>
          </w:p>
        </w:tc>
        <w:tc>
          <w:tcPr>
            <w:tcW w:type="dxa" w:w="2268"/>
            <w:tcMar>
              <w:top w:w="120" w:type="dxa"/>
              <w:bottom w:w="120" w:type="dxa"/>
              <w:left w:w="150" w:type="dxa"/>
              <w:right w:w="150" w:type="dxa"/>
            </w:tcMar>
          </w:tcPr>
          <w:p>
            <w:pPr>
              <w:spacing w:after="40" w:line="252" w:lineRule="auto"/>
            </w:pPr>
            <w:r>
              <w:rPr>
                <w:rFonts w:ascii="Calibri" w:hAnsi="Calibri"/>
                <w:sz w:val="19"/>
              </w:rPr>
              <w:t>Özlük dosyasına işleme ve arşiv</w:t>
            </w:r>
          </w:p>
        </w:tc>
        <w:tc>
          <w:tcPr>
            <w:tcW w:type="dxa" w:w="2268"/>
            <w:tcMar>
              <w:top w:w="120" w:type="dxa"/>
              <w:bottom w:w="120" w:type="dxa"/>
              <w:left w:w="150" w:type="dxa"/>
              <w:right w:w="150" w:type="dxa"/>
            </w:tcMar>
          </w:tcPr>
          <w:p>
            <w:pPr>
              <w:spacing w:after="40" w:line="252" w:lineRule="auto"/>
            </w:pPr>
            <w:r>
              <w:rPr>
                <w:rFonts w:ascii="Calibri" w:hAnsi="Calibri"/>
                <w:sz w:val="19"/>
              </w:rPr>
              <w:t>1 iş günü</w:t>
            </w:r>
          </w:p>
        </w:tc>
        <w:tc>
          <w:tcPr>
            <w:tcW w:type="dxa" w:w="2268"/>
            <w:tcMar>
              <w:top w:w="120" w:type="dxa"/>
              <w:bottom w:w="120" w:type="dxa"/>
              <w:left w:w="150" w:type="dxa"/>
              <w:right w:w="150" w:type="dxa"/>
            </w:tcMar>
          </w:tcPr>
          <w:p>
            <w:pPr>
              <w:spacing w:after="40" w:line="252" w:lineRule="auto"/>
            </w:pPr>
            <w:r>
              <w:rPr>
                <w:rFonts w:ascii="Calibri" w:hAnsi="Calibri"/>
                <w:sz w:val="19"/>
              </w:rPr>
              <w:t>İK Özlük</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9</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Çıkış işlemleri (fesih ise) ve SGK bildirgesi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En çok 10 gün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Bordro</w:t>
            </w:r>
          </w:p>
        </w:tc>
      </w:tr>
    </w:tbl>
    <w:p>
      <w:pPr>
        <w:spacing w:after="120"/>
      </w:pPr>
    </w:p>
    <w:p>
      <w:pPr>
        <w:spacing w:before="160" w:after="60"/>
      </w:pPr>
      <w:r>
        <w:rPr>
          <w:rFonts w:ascii="Calibri" w:hAnsi="Calibri"/>
          <w:b/>
          <w:color w:val="475569"/>
          <w:sz w:val="24"/>
        </w:rPr>
        <w:t>6.2 Savunma Talep Yazısı Zorunlu Unsurları (4857 Md. 19)</w:t>
      </w:r>
    </w:p>
    <w:p>
      <w:pPr>
        <w:pStyle w:val="ListNumber"/>
        <w:spacing w:after="40" w:line="276" w:lineRule="auto"/>
      </w:pPr>
      <w:r>
        <w:rPr>
          <w:rFonts w:ascii="Calibri" w:hAnsi="Calibri"/>
          <w:b/>
        </w:rPr>
        <w:t>Fiilin açık ve somut tanımı:</w:t>
      </w:r>
      <w:r>
        <w:rPr>
          <w:rFonts w:ascii="Calibri" w:hAnsi="Calibri"/>
        </w:rPr>
        <w:t xml:space="preserve"> Tarih, saat, yer, görgü tanıkları (soyut ifadeler — "disiplinsiz davranış" — geçersizdir).</w:t>
      </w:r>
    </w:p>
    <w:p>
      <w:pPr>
        <w:pStyle w:val="ListNumber"/>
        <w:spacing w:after="40" w:line="276" w:lineRule="auto"/>
      </w:pPr>
      <w:r>
        <w:rPr>
          <w:rFonts w:ascii="Calibri" w:hAnsi="Calibri"/>
          <w:b/>
        </w:rPr>
        <w:t>İsnat edilen fiilin dayanağı:</w:t>
      </w:r>
      <w:r>
        <w:rPr>
          <w:rFonts w:ascii="Calibri" w:hAnsi="Calibri"/>
        </w:rPr>
        <w:t xml:space="preserve"> İhlal edilen yönetmelik/talimat maddesi.</w:t>
      </w:r>
    </w:p>
    <w:p>
      <w:pPr>
        <w:pStyle w:val="ListNumber"/>
        <w:spacing w:after="40" w:line="276" w:lineRule="auto"/>
      </w:pPr>
      <w:r>
        <w:rPr>
          <w:rFonts w:ascii="Calibri" w:hAnsi="Calibri"/>
          <w:b/>
        </w:rPr>
        <w:t>Savunma süresi:</w:t>
      </w:r>
      <w:r>
        <w:rPr>
          <w:rFonts w:ascii="Calibri" w:hAnsi="Calibri"/>
        </w:rPr>
        <w:t xml:space="preserve"> </w:t>
      </w:r>
      <w:r>
        <w:rPr>
          <w:rFonts w:ascii="Calibri" w:hAnsi="Calibri"/>
          <w:b/>
        </w:rPr>
        <w:t>En az 3 iş günü</w:t>
      </w:r>
      <w:r>
        <w:rPr>
          <w:rFonts w:ascii="Calibri" w:hAnsi="Calibri"/>
        </w:rPr>
        <w:t xml:space="preserve"> (kısa süre verilmesi feshi usulsüz kılar).</w:t>
      </w:r>
    </w:p>
    <w:p>
      <w:pPr>
        <w:pStyle w:val="ListNumber"/>
        <w:spacing w:after="40" w:line="276" w:lineRule="auto"/>
      </w:pPr>
      <w:r>
        <w:rPr>
          <w:rFonts w:ascii="Calibri" w:hAnsi="Calibri"/>
          <w:b/>
        </w:rPr>
        <w:t>Sonuç uyarısı:</w:t>
      </w:r>
      <w:r>
        <w:rPr>
          <w:rFonts w:ascii="Calibri" w:hAnsi="Calibri"/>
        </w:rPr>
        <w:t xml:space="preserve"> Savunma verilmemesi halinde savunma hakkından vazgeçmiş sayılacağı ihtarı.</w:t>
      </w:r>
    </w:p>
    <w:p>
      <w:pPr>
        <w:pStyle w:val="ListNumber"/>
        <w:spacing w:after="40" w:line="276" w:lineRule="auto"/>
      </w:pPr>
      <w:r>
        <w:rPr>
          <w:rFonts w:ascii="Calibri" w:hAnsi="Calibri"/>
          <w:b/>
        </w:rPr>
        <w:t>Tebliğ usulü:</w:t>
      </w:r>
      <w:r>
        <w:rPr>
          <w:rFonts w:ascii="Calibri" w:hAnsi="Calibri"/>
        </w:rPr>
        <w:t xml:space="preserve"> İmza karşılığı; verilemezse noter/KEP veya iki şahitle tebliğ.</w:t>
      </w:r>
    </w:p>
    <w:p>
      <w:pPr>
        <w:spacing w:before="160" w:after="60"/>
      </w:pPr>
      <w:r>
        <w:rPr>
          <w:rFonts w:ascii="Calibri" w:hAnsi="Calibri"/>
          <w:b/>
          <w:color w:val="475569"/>
          <w:sz w:val="24"/>
        </w:rPr>
        <w:t>6.3 Disiplin Kurulu ve Nisap</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Kurul Üyesi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Görev</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Oy Hakkı</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İnsan Kaynakları Müdürü</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Kurul başkanı, süreç yönetimi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Var</w:t>
            </w:r>
          </w:p>
        </w:tc>
      </w:tr>
      <w:tr>
        <w:tc>
          <w:tcPr>
            <w:tcW w:type="dxa" w:w="3024"/>
            <w:tcMar>
              <w:top w:w="120" w:type="dxa"/>
              <w:bottom w:w="120" w:type="dxa"/>
              <w:left w:w="150" w:type="dxa"/>
              <w:right w:w="150" w:type="dxa"/>
            </w:tcMar>
          </w:tcPr>
          <w:p>
            <w:pPr>
              <w:spacing w:after="40" w:line="252" w:lineRule="auto"/>
            </w:pPr>
            <w:r>
              <w:rPr>
                <w:rFonts w:ascii="Calibri" w:hAnsi="Calibri"/>
                <w:sz w:val="19"/>
              </w:rPr>
              <w:t>İlgili Departman Müdürü</w:t>
            </w:r>
          </w:p>
        </w:tc>
        <w:tc>
          <w:tcPr>
            <w:tcW w:type="dxa" w:w="3024"/>
            <w:tcMar>
              <w:top w:w="120" w:type="dxa"/>
              <w:bottom w:w="120" w:type="dxa"/>
              <w:left w:w="150" w:type="dxa"/>
              <w:right w:w="150" w:type="dxa"/>
            </w:tcMar>
          </w:tcPr>
          <w:p>
            <w:pPr>
              <w:spacing w:after="40" w:line="252" w:lineRule="auto"/>
            </w:pPr>
            <w:r>
              <w:rPr>
                <w:rFonts w:ascii="Calibri" w:hAnsi="Calibri"/>
                <w:sz w:val="19"/>
              </w:rPr>
              <w:t>Olayın teknik/operasyonel değerlendirmesi</w:t>
            </w:r>
          </w:p>
        </w:tc>
        <w:tc>
          <w:tcPr>
            <w:tcW w:type="dxa" w:w="3024"/>
            <w:tcMar>
              <w:top w:w="120" w:type="dxa"/>
              <w:bottom w:w="120" w:type="dxa"/>
              <w:left w:w="150" w:type="dxa"/>
              <w:right w:w="150" w:type="dxa"/>
            </w:tcMar>
          </w:tcPr>
          <w:p>
            <w:pPr>
              <w:spacing w:after="40" w:line="252" w:lineRule="auto"/>
            </w:pPr>
            <w:r>
              <w:rPr>
                <w:rFonts w:ascii="Calibri" w:hAnsi="Calibri"/>
                <w:sz w:val="19"/>
              </w:rPr>
              <w:t>Var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Hukuk Müşaviri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Usul ve hukuka uygunluk denetimi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Var</w:t>
            </w:r>
          </w:p>
        </w:tc>
      </w:tr>
      <w:tr>
        <w:tc>
          <w:tcPr>
            <w:tcW w:type="dxa" w:w="3024"/>
            <w:tcMar>
              <w:top w:w="120" w:type="dxa"/>
              <w:bottom w:w="120" w:type="dxa"/>
              <w:left w:w="150" w:type="dxa"/>
              <w:right w:w="150" w:type="dxa"/>
            </w:tcMar>
          </w:tcPr>
          <w:p>
            <w:pPr>
              <w:spacing w:after="40" w:line="252" w:lineRule="auto"/>
            </w:pPr>
            <w:r>
              <w:rPr>
                <w:rFonts w:ascii="Calibri" w:hAnsi="Calibri"/>
                <w:sz w:val="19"/>
              </w:rPr>
              <w:t>Çalışan Temsilcisi</w:t>
            </w:r>
          </w:p>
        </w:tc>
        <w:tc>
          <w:tcPr>
            <w:tcW w:type="dxa" w:w="3024"/>
            <w:tcMar>
              <w:top w:w="120" w:type="dxa"/>
              <w:bottom w:w="120" w:type="dxa"/>
              <w:left w:w="150" w:type="dxa"/>
              <w:right w:w="150" w:type="dxa"/>
            </w:tcMar>
          </w:tcPr>
          <w:p>
            <w:pPr>
              <w:spacing w:after="40" w:line="252" w:lineRule="auto"/>
            </w:pPr>
            <w:r>
              <w:rPr>
                <w:rFonts w:ascii="Calibri" w:hAnsi="Calibri"/>
                <w:sz w:val="19"/>
              </w:rPr>
              <w:t>Tarafsızlık ve çalışan hakkı güvencesi</w:t>
            </w:r>
          </w:p>
        </w:tc>
        <w:tc>
          <w:tcPr>
            <w:tcW w:type="dxa" w:w="3024"/>
            <w:tcMar>
              <w:top w:w="120" w:type="dxa"/>
              <w:bottom w:w="120" w:type="dxa"/>
              <w:left w:w="150" w:type="dxa"/>
              <w:right w:w="150" w:type="dxa"/>
            </w:tcMar>
          </w:tcPr>
          <w:p>
            <w:pPr>
              <w:spacing w:after="40" w:line="252" w:lineRule="auto"/>
            </w:pPr>
            <w:r>
              <w:rPr>
                <w:rFonts w:ascii="Calibri" w:hAnsi="Calibri"/>
                <w:sz w:val="19"/>
              </w:rPr>
              <w:t>Var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İSG Uzmanı (İSG ihlallerinde)</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Teknik bilirkişi görüşü</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İşin niteliğine göre</w:t>
            </w:r>
          </w:p>
        </w:tc>
      </w:tr>
    </w:tbl>
    <w:p>
      <w:pPr>
        <w:spacing w:after="120"/>
      </w:pPr>
    </w:p>
    <w:p>
      <w:pPr>
        <w:pStyle w:val="ListBullet"/>
        <w:spacing w:after="40" w:line="276" w:lineRule="auto"/>
      </w:pPr>
      <w:r>
        <w:rPr>
          <w:rFonts w:ascii="Calibri" w:hAnsi="Calibri"/>
        </w:rPr>
        <w:t xml:space="preserve">Kurul </w:t>
      </w:r>
      <w:r>
        <w:rPr>
          <w:rFonts w:ascii="Calibri" w:hAnsi="Calibri"/>
          <w:b/>
        </w:rPr>
        <w:t>salt çoğunlukla</w:t>
      </w:r>
      <w:r>
        <w:rPr>
          <w:rFonts w:ascii="Calibri" w:hAnsi="Calibri"/>
        </w:rPr>
        <w:t xml:space="preserve"> toplanır ve kararlar oy çokluğuyla alınır; karşı oy gerekçesi tutanağa yazılır.</w:t>
      </w:r>
    </w:p>
    <w:p>
      <w:pPr>
        <w:pStyle w:val="ListBullet"/>
        <w:spacing w:after="40" w:line="276" w:lineRule="auto"/>
      </w:pPr>
      <w:r>
        <w:rPr>
          <w:rFonts w:ascii="Calibri" w:hAnsi="Calibri"/>
        </w:rPr>
        <w:t>Kurul toplantıları gizlidir; dosya içeriği üçüncü kişilerle paylaşılamaz (6698 Md. 12).</w:t>
      </w:r>
    </w:p>
    <w:p>
      <w:pPr>
        <w:pStyle w:val="ListBullet"/>
        <w:spacing w:after="40" w:line="276" w:lineRule="auto"/>
      </w:pPr>
      <w:r>
        <w:rPr>
          <w:rFonts w:ascii="Calibri" w:hAnsi="Calibri"/>
        </w:rPr>
        <w:t>Kurul, çalışanı dinleyebilir; çalışanın yanında bir çalışma arkadaşını bulundurma talebi karşılanır.</w:t>
      </w:r>
    </w:p>
    <w:p>
      <w:pPr>
        <w:spacing w:before="200" w:after="80"/>
      </w:pPr>
      <w:r>
        <w:rPr>
          <w:rFonts w:ascii="Calibri" w:hAnsi="Calibri"/>
          <w:b/>
          <w:color w:val="1E3A8A"/>
          <w:sz w:val="28"/>
        </w:rPr>
        <w:t>7. HAK DÜŞÜRÜCÜ SÜRE, İTİRAZ VE YARGI YOLU</w:t>
      </w:r>
    </w:p>
    <w:p>
      <w:pPr>
        <w:spacing w:before="160" w:after="60"/>
      </w:pPr>
      <w:r>
        <w:rPr>
          <w:rFonts w:ascii="Calibri" w:hAnsi="Calibri"/>
          <w:b/>
          <w:color w:val="475569"/>
          <w:sz w:val="24"/>
        </w:rPr>
        <w:t>7.1 6 İş Günü ve 1 Yıl Kuralı (4857 Md. 26)</w:t>
      </w:r>
    </w:p>
    <w:p>
      <w:pPr>
        <w:spacing w:after="80" w:line="276" w:lineRule="auto"/>
      </w:pPr>
      <w:r>
        <w:rPr>
          <w:rFonts w:ascii="Calibri" w:hAnsi="Calibri"/>
          <w:b/>
        </w:rPr>
        <w:t>Yasal Dayanak:</w:t>
      </w:r>
      <w:r>
        <w:rPr>
          <w:rFonts w:ascii="Calibri" w:hAnsi="Calibri"/>
        </w:rPr>
        <w:t xml:space="preserve"> Ahlak ve iyi niyet kurallarına uymayan haller (Md. 25/II) ve benzerlerine dayanan fesih yetkisi, işverenin fiili </w:t>
      </w:r>
      <w:r>
        <w:rPr>
          <w:rFonts w:ascii="Calibri" w:hAnsi="Calibri"/>
          <w:b/>
        </w:rPr>
        <w:t>öğrendiği günden başlayarak 6 iş günü</w:t>
      </w:r>
      <w:r>
        <w:rPr>
          <w:rFonts w:ascii="Calibri" w:hAnsi="Calibri"/>
        </w:rPr>
        <w:t xml:space="preserve"> ve her hâlde fiilin gerçekleşmesinden itibaren </w:t>
      </w:r>
      <w:r>
        <w:rPr>
          <w:rFonts w:ascii="Calibri" w:hAnsi="Calibri"/>
          <w:b/>
        </w:rPr>
        <w:t>1 yıl</w:t>
      </w:r>
      <w:r>
        <w:rPr>
          <w:rFonts w:ascii="Calibri" w:hAnsi="Calibri"/>
        </w:rPr>
        <w:t xml:space="preserve"> geçtikten sonra kullanılamaz. Bu süreler geçtiğinde yapılan fesih haksız fesih sayılır ve işe iade/kıdem-ihbar tazminatı riski doğar.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512"/>
        <w:gridCol w:w="1512"/>
        <w:gridCol w:w="1512"/>
        <w:gridCol w:w="1512"/>
        <w:gridCol w:w="1512"/>
        <w:gridCol w:w="1512"/>
      </w:tblGrid>
      <w:tr>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Fiil</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Öğrenme Tarihi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6 İş Günü Sonu</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1 Yıl Sonu</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Fesih Kararı</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1512"/>
            <w:tcMar>
              <w:top w:w="120" w:type="dxa"/>
              <w:bottom w:w="120" w:type="dxa"/>
              <w:left w:w="150" w:type="dxa"/>
              <w:right w:w="150" w:type="dxa"/>
            </w:tcMar>
            <w:shd w:fill="F8FAFC"/>
          </w:tcPr>
          <w:p>
            <w:pPr>
              <w:spacing w:after="40" w:line="252" w:lineRule="auto"/>
            </w:pPr>
            <w:r>
              <w:rPr>
                <w:rFonts w:ascii="Calibri" w:hAnsi="Calibri"/>
                <w:sz w:val="19"/>
              </w:rPr>
              <w:t>Devamsızlık (Md. 25/II-g)</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 ] Süresinde</w:t>
            </w:r>
          </w:p>
        </w:tc>
      </w:tr>
      <w:tr>
        <w:tc>
          <w:tcPr>
            <w:tcW w:type="dxa" w:w="1512"/>
            <w:tcMar>
              <w:top w:w="120" w:type="dxa"/>
              <w:bottom w:w="120" w:type="dxa"/>
              <w:left w:w="150" w:type="dxa"/>
              <w:right w:w="150" w:type="dxa"/>
            </w:tcMar>
          </w:tcPr>
          <w:p>
            <w:pPr>
              <w:spacing w:after="40" w:line="252" w:lineRule="auto"/>
            </w:pPr>
            <w:r>
              <w:rPr>
                <w:rFonts w:ascii="Calibri" w:hAnsi="Calibri"/>
                <w:sz w:val="19"/>
              </w:rPr>
              <w:t>Hırsızlık şüphesi (Md. 25/II-e)</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 ] Süresinde</w:t>
            </w:r>
          </w:p>
        </w:tc>
      </w:tr>
      <w:tr>
        <w:tc>
          <w:tcPr>
            <w:tcW w:type="dxa" w:w="1512"/>
            <w:tcMar>
              <w:top w:w="120" w:type="dxa"/>
              <w:bottom w:w="120" w:type="dxa"/>
              <w:left w:w="150" w:type="dxa"/>
              <w:right w:w="150" w:type="dxa"/>
            </w:tcMar>
            <w:shd w:fill="F8FAFC"/>
          </w:tcPr>
          <w:p>
            <w:pPr>
              <w:spacing w:after="40" w:line="252" w:lineRule="auto"/>
            </w:pPr>
            <w:r>
              <w:rPr>
                <w:rFonts w:ascii="Calibri" w:hAnsi="Calibri"/>
                <w:sz w:val="19"/>
              </w:rPr>
              <w:t>İş güvenliği ihlali (Md. 25/II-ı)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 ] Süresinde</w:t>
            </w:r>
          </w:p>
        </w:tc>
      </w:tr>
      <w:tr>
        <w:tc>
          <w:tcPr>
            <w:tcW w:type="dxa" w:w="1512"/>
            <w:tcMar>
              <w:top w:w="120" w:type="dxa"/>
              <w:bottom w:w="120" w:type="dxa"/>
              <w:left w:w="150" w:type="dxa"/>
              <w:right w:w="150" w:type="dxa"/>
            </w:tcMar>
          </w:tcPr>
          <w:p>
            <w:pPr>
              <w:spacing w:after="40" w:line="252" w:lineRule="auto"/>
            </w:pPr>
            <w:r>
              <w:rPr>
                <w:rFonts w:ascii="Calibri" w:hAnsi="Calibri"/>
                <w:sz w:val="19"/>
              </w:rPr>
              <w:t>Hakaret / taciz (Md. 25/II-c)</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[GG/AA/YYYY]</w:t>
            </w:r>
          </w:p>
        </w:tc>
        <w:tc>
          <w:tcPr>
            <w:tcW w:type="dxa" w:w="1512"/>
            <w:tcMar>
              <w:top w:w="120" w:type="dxa"/>
              <w:bottom w:w="120" w:type="dxa"/>
              <w:left w:w="150" w:type="dxa"/>
              <w:right w:w="150" w:type="dxa"/>
            </w:tcMar>
          </w:tcPr>
          <w:p>
            <w:pPr>
              <w:spacing w:after="40" w:line="252" w:lineRule="auto"/>
            </w:pPr>
            <w:r>
              <w:rPr>
                <w:rFonts w:ascii="Calibri" w:hAnsi="Calibri"/>
                <w:sz w:val="19"/>
              </w:rPr>
              <w:t>[ ] Süresinde</w:t>
            </w:r>
          </w:p>
        </w:tc>
      </w:tr>
    </w:tbl>
    <w:p>
      <w:pPr>
        <w:spacing w:after="120"/>
      </w:pPr>
    </w:p>
    <w:p>
      <w:pPr>
        <w:spacing w:before="80" w:after="120"/>
        <w:ind w:left="576"/>
      </w:pPr>
      <w:r>
        <w:rPr>
          <w:rFonts w:ascii="Calibri" w:hAnsi="Calibri"/>
          <w:i/>
          <w:color w:val="64748B"/>
          <w:sz w:val="21"/>
        </w:rPr>
        <w:t>Kritik Uyarı: İşveren, fiili öğrendiği hâlde soruşturmayı uzatır ve 6 iş günlük süreyi kaçırırsa haklı fesih hakkını kaybeder. Bu nedenle soruşturma takvimi (bölüm 6.1) mutlaka 6 iş günü içinde tamamlanacak şekilde planlanmalıdır. Ağır ceza soruşturmalarında (hırsızlık, taciz) savunma süresi kısaltılmadan, ancak toplam süre gözetilerek hareket edilir.</w:t>
      </w:r>
    </w:p>
    <w:p>
      <w:pPr>
        <w:spacing w:before="160" w:after="60"/>
      </w:pPr>
      <w:r>
        <w:rPr>
          <w:rFonts w:ascii="Calibri" w:hAnsi="Calibri"/>
          <w:b/>
          <w:color w:val="475569"/>
          <w:sz w:val="24"/>
        </w:rPr>
        <w:t>7.2 Disiplin Cezasına İtiraz Yolu</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Aşama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Yapılacak İşlem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Süre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Merci</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Çalışanın yazılı itiraz dilekçesi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Tebliğden itibaren 5 iş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Müdürlüğü</w:t>
            </w:r>
          </w:p>
        </w:tc>
      </w:tr>
      <w:tr>
        <w:tc>
          <w:tcPr>
            <w:tcW w:type="dxa" w:w="2268"/>
            <w:tcMar>
              <w:top w:w="120" w:type="dxa"/>
              <w:bottom w:w="120" w:type="dxa"/>
              <w:left w:w="150" w:type="dxa"/>
              <w:right w:w="150" w:type="dxa"/>
            </w:tcMar>
          </w:tcPr>
          <w:p>
            <w:pPr>
              <w:spacing w:after="40" w:line="252" w:lineRule="auto"/>
            </w:pPr>
            <w:r>
              <w:rPr>
                <w:rFonts w:ascii="Calibri" w:hAnsi="Calibri"/>
                <w:sz w:val="19"/>
              </w:rPr>
              <w:t>2</w:t>
            </w:r>
          </w:p>
        </w:tc>
        <w:tc>
          <w:tcPr>
            <w:tcW w:type="dxa" w:w="2268"/>
            <w:tcMar>
              <w:top w:w="120" w:type="dxa"/>
              <w:bottom w:w="120" w:type="dxa"/>
              <w:left w:w="150" w:type="dxa"/>
              <w:right w:w="150" w:type="dxa"/>
            </w:tcMar>
          </w:tcPr>
          <w:p>
            <w:pPr>
              <w:spacing w:after="40" w:line="252" w:lineRule="auto"/>
            </w:pPr>
            <w:r>
              <w:rPr>
                <w:rFonts w:ascii="Calibri" w:hAnsi="Calibri"/>
                <w:sz w:val="19"/>
              </w:rPr>
              <w:t>İtirazın incelenmesi ve dosya yeniden değerlendirme</w:t>
            </w:r>
          </w:p>
        </w:tc>
        <w:tc>
          <w:tcPr>
            <w:tcW w:type="dxa" w:w="2268"/>
            <w:tcMar>
              <w:top w:w="120" w:type="dxa"/>
              <w:bottom w:w="120" w:type="dxa"/>
              <w:left w:w="150" w:type="dxa"/>
              <w:right w:w="150" w:type="dxa"/>
            </w:tcMar>
          </w:tcPr>
          <w:p>
            <w:pPr>
              <w:spacing w:after="40" w:line="252" w:lineRule="auto"/>
            </w:pPr>
            <w:r>
              <w:rPr>
                <w:rFonts w:ascii="Calibri" w:hAnsi="Calibri"/>
                <w:sz w:val="19"/>
              </w:rPr>
              <w:t>10 iş günü</w:t>
            </w:r>
          </w:p>
        </w:tc>
        <w:tc>
          <w:tcPr>
            <w:tcW w:type="dxa" w:w="2268"/>
            <w:tcMar>
              <w:top w:w="120" w:type="dxa"/>
              <w:bottom w:w="120" w:type="dxa"/>
              <w:left w:w="150" w:type="dxa"/>
              <w:right w:w="150" w:type="dxa"/>
            </w:tcMar>
          </w:tcPr>
          <w:p>
            <w:pPr>
              <w:spacing w:after="40" w:line="252" w:lineRule="auto"/>
            </w:pPr>
            <w:r>
              <w:rPr>
                <w:rFonts w:ascii="Calibri" w:hAnsi="Calibri"/>
                <w:sz w:val="19"/>
              </w:rPr>
              <w:t>Disiplin İtiraz Kurulu</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Nihai kararın yazılı tebliği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3 iş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Müdürlüğü</w:t>
            </w:r>
          </w:p>
        </w:tc>
      </w:tr>
      <w:tr>
        <w:tc>
          <w:tcPr>
            <w:tcW w:type="dxa" w:w="2268"/>
            <w:tcMar>
              <w:top w:w="120" w:type="dxa"/>
              <w:bottom w:w="120" w:type="dxa"/>
              <w:left w:w="150" w:type="dxa"/>
              <w:right w:w="150" w:type="dxa"/>
            </w:tcMar>
          </w:tcPr>
          <w:p>
            <w:pPr>
              <w:spacing w:after="40" w:line="252" w:lineRule="auto"/>
            </w:pPr>
            <w:r>
              <w:rPr>
                <w:rFonts w:ascii="Calibri" w:hAnsi="Calibri"/>
                <w:sz w:val="19"/>
              </w:rPr>
              <w:t>4</w:t>
            </w:r>
          </w:p>
        </w:tc>
        <w:tc>
          <w:tcPr>
            <w:tcW w:type="dxa" w:w="2268"/>
            <w:tcMar>
              <w:top w:w="120" w:type="dxa"/>
              <w:bottom w:w="120" w:type="dxa"/>
              <w:left w:w="150" w:type="dxa"/>
              <w:right w:w="150" w:type="dxa"/>
            </w:tcMar>
          </w:tcPr>
          <w:p>
            <w:pPr>
              <w:spacing w:after="40" w:line="252" w:lineRule="auto"/>
            </w:pPr>
            <w:r>
              <w:rPr>
                <w:rFonts w:ascii="Calibri" w:hAnsi="Calibri"/>
                <w:sz w:val="19"/>
              </w:rPr>
              <w:t>Yargı yolu (fesih halinde işe iade davası)</w:t>
            </w:r>
          </w:p>
        </w:tc>
        <w:tc>
          <w:tcPr>
            <w:tcW w:type="dxa" w:w="2268"/>
            <w:tcMar>
              <w:top w:w="120" w:type="dxa"/>
              <w:bottom w:w="120" w:type="dxa"/>
              <w:left w:w="150" w:type="dxa"/>
              <w:right w:w="150" w:type="dxa"/>
            </w:tcMar>
          </w:tcPr>
          <w:p>
            <w:pPr>
              <w:spacing w:after="40" w:line="252" w:lineRule="auto"/>
            </w:pPr>
            <w:r>
              <w:rPr>
                <w:rFonts w:ascii="Calibri" w:hAnsi="Calibri"/>
                <w:sz w:val="19"/>
              </w:rPr>
              <w:t xml:space="preserve">Fesih tebliğinden itibaren </w:t>
            </w:r>
            <w:r>
              <w:rPr>
                <w:rFonts w:ascii="Calibri" w:hAnsi="Calibri"/>
                <w:b/>
                <w:sz w:val="19"/>
              </w:rPr>
              <w:t>1 ay</w:t>
            </w:r>
            <w:r>
              <w:rPr>
                <w:rFonts w:ascii="Calibri" w:hAnsi="Calibri"/>
                <w:sz w:val="19"/>
              </w:rPr>
              <w:t xml:space="preserve"> (arabuluculuk son tutanaktan itibaren </w:t>
            </w:r>
            <w:r>
              <w:rPr>
                <w:rFonts w:ascii="Calibri" w:hAnsi="Calibri"/>
                <w:b/>
                <w:sz w:val="19"/>
              </w:rPr>
              <w:t>2 hafta</w:t>
            </w:r>
            <w:r>
              <w:rPr>
                <w:rFonts w:ascii="Calibri" w:hAnsi="Calibri"/>
                <w:sz w:val="19"/>
              </w:rPr>
              <w:t>)</w:t>
            </w:r>
          </w:p>
        </w:tc>
        <w:tc>
          <w:tcPr>
            <w:tcW w:type="dxa" w:w="2268"/>
            <w:tcMar>
              <w:top w:w="120" w:type="dxa"/>
              <w:bottom w:w="120" w:type="dxa"/>
              <w:left w:w="150" w:type="dxa"/>
              <w:right w:w="150" w:type="dxa"/>
            </w:tcMar>
          </w:tcPr>
          <w:p>
            <w:pPr>
              <w:spacing w:after="40" w:line="252" w:lineRule="auto"/>
            </w:pPr>
            <w:r>
              <w:rPr>
                <w:rFonts w:ascii="Calibri" w:hAnsi="Calibri"/>
                <w:sz w:val="19"/>
              </w:rPr>
              <w:t>İş Mahkemesi</w:t>
            </w:r>
          </w:p>
        </w:tc>
      </w:tr>
    </w:tbl>
    <w:p>
      <w:pPr>
        <w:spacing w:after="120"/>
      </w:pPr>
    </w:p>
    <w:p>
      <w:pPr>
        <w:pStyle w:val="ListBullet"/>
        <w:spacing w:after="40" w:line="276" w:lineRule="auto"/>
      </w:pPr>
      <w:r>
        <w:rPr>
          <w:rFonts w:ascii="Calibri" w:hAnsi="Calibri"/>
          <w:b/>
        </w:rPr>
        <w:t>Zorunlu Arabuluculuk:</w:t>
      </w:r>
      <w:r>
        <w:rPr>
          <w:rFonts w:ascii="Calibri" w:hAnsi="Calibri"/>
        </w:rPr>
        <w:t xml:space="preserve"> 7036 s. Kanun Md. 3 uyarınca işe iade, ücret ve tazminat talepli davalarda dava açılmadan önce arabuluculuk yoluna başvurulması </w:t>
      </w:r>
      <w:r>
        <w:rPr>
          <w:rFonts w:ascii="Calibri" w:hAnsi="Calibri"/>
          <w:b/>
        </w:rPr>
        <w:t>zorunludur</w:t>
      </w:r>
      <w:r>
        <w:rPr>
          <w:rFonts w:ascii="Calibri" w:hAnsi="Calibri"/>
        </w:rPr>
        <w:t xml:space="preserve">. Arabuluculukta anlaşma sağlanamazsa son tutanağın düzenlendiği tarihten itibaren </w:t>
      </w:r>
      <w:r>
        <w:rPr>
          <w:rFonts w:ascii="Calibri" w:hAnsi="Calibri"/>
          <w:b/>
        </w:rPr>
        <w:t>2 hafta</w:t>
      </w:r>
      <w:r>
        <w:rPr>
          <w:rFonts w:ascii="Calibri" w:hAnsi="Calibri"/>
        </w:rPr>
        <w:t xml:space="preserve"> içinde dava açılabilir.</w:t>
      </w:r>
    </w:p>
    <w:p>
      <w:pPr>
        <w:pStyle w:val="ListBullet"/>
        <w:spacing w:after="40" w:line="276" w:lineRule="auto"/>
      </w:pPr>
      <w:r>
        <w:rPr>
          <w:rFonts w:ascii="Calibri" w:hAnsi="Calibri"/>
        </w:rPr>
        <w:t>Fesih bildiriminde feshin sebebi açık ve kesin olarak belirtilmelidir; belirtilmeyen sebeplere sonradan dayanılamaz.</w:t>
      </w:r>
    </w:p>
    <w:p>
      <w:pPr>
        <w:spacing w:before="200" w:after="80"/>
      </w:pPr>
      <w:r>
        <w:rPr>
          <w:rFonts w:ascii="Calibri" w:hAnsi="Calibri"/>
          <w:b/>
          <w:color w:val="1E3A8A"/>
          <w:sz w:val="28"/>
        </w:rPr>
        <w:t>8. SORUŞTURMA DOSYASI, GİZLİLİK VE ARŞİV</w:t>
      </w:r>
    </w:p>
    <w:p>
      <w:pPr>
        <w:spacing w:before="160" w:after="60"/>
      </w:pPr>
      <w:r>
        <w:rPr>
          <w:rFonts w:ascii="Calibri" w:hAnsi="Calibri"/>
          <w:b/>
          <w:color w:val="475569"/>
          <w:sz w:val="24"/>
        </w:rPr>
        <w:t>8.1 Dosyada Bulunması Zorunlu Belgeler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Belge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Amaç</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Olay / devamsızlık tutanağı (şahitli)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Fiilin tespiti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2</w:t>
            </w:r>
          </w:p>
        </w:tc>
        <w:tc>
          <w:tcPr>
            <w:tcW w:type="dxa" w:w="2268"/>
            <w:tcMar>
              <w:top w:w="120" w:type="dxa"/>
              <w:bottom w:w="120" w:type="dxa"/>
              <w:left w:w="150" w:type="dxa"/>
              <w:right w:w="150" w:type="dxa"/>
            </w:tcMar>
          </w:tcPr>
          <w:p>
            <w:pPr>
              <w:spacing w:after="40" w:line="252" w:lineRule="auto"/>
            </w:pPr>
            <w:r>
              <w:rPr>
                <w:rFonts w:ascii="Calibri" w:hAnsi="Calibri"/>
                <w:sz w:val="19"/>
              </w:rPr>
              <w:t>Kamera kaydı / log çıktısı / e-posta delili</w:t>
            </w:r>
          </w:p>
        </w:tc>
        <w:tc>
          <w:tcPr>
            <w:tcW w:type="dxa" w:w="2268"/>
            <w:tcMar>
              <w:top w:w="120" w:type="dxa"/>
              <w:bottom w:w="120" w:type="dxa"/>
              <w:left w:w="150" w:type="dxa"/>
              <w:right w:w="150" w:type="dxa"/>
            </w:tcMar>
          </w:tcPr>
          <w:p>
            <w:pPr>
              <w:spacing w:after="40" w:line="252" w:lineRule="auto"/>
            </w:pPr>
            <w:r>
              <w:rPr>
                <w:rFonts w:ascii="Calibri" w:hAnsi="Calibri"/>
                <w:sz w:val="19"/>
              </w:rPr>
              <w:t>Nesnel kanıt</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Yazılı savunma talep yazısı + tebliğ belgesi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Usulün ispatı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4</w:t>
            </w:r>
          </w:p>
        </w:tc>
        <w:tc>
          <w:tcPr>
            <w:tcW w:type="dxa" w:w="2268"/>
            <w:tcMar>
              <w:top w:w="120" w:type="dxa"/>
              <w:bottom w:w="120" w:type="dxa"/>
              <w:left w:w="150" w:type="dxa"/>
              <w:right w:w="150" w:type="dxa"/>
            </w:tcMar>
          </w:tcPr>
          <w:p>
            <w:pPr>
              <w:spacing w:after="40" w:line="252" w:lineRule="auto"/>
            </w:pPr>
            <w:r>
              <w:rPr>
                <w:rFonts w:ascii="Calibri" w:hAnsi="Calibri"/>
                <w:sz w:val="19"/>
              </w:rPr>
              <w:t>Çalışanın yazılı savunması (veya vermediğine dair tutanak)</w:t>
            </w:r>
          </w:p>
        </w:tc>
        <w:tc>
          <w:tcPr>
            <w:tcW w:type="dxa" w:w="2268"/>
            <w:tcMar>
              <w:top w:w="120" w:type="dxa"/>
              <w:bottom w:w="120" w:type="dxa"/>
              <w:left w:w="150" w:type="dxa"/>
              <w:right w:w="150" w:type="dxa"/>
            </w:tcMar>
          </w:tcPr>
          <w:p>
            <w:pPr>
              <w:spacing w:after="40" w:line="252" w:lineRule="auto"/>
            </w:pPr>
            <w:r>
              <w:rPr>
                <w:rFonts w:ascii="Calibri" w:hAnsi="Calibri"/>
                <w:sz w:val="19"/>
              </w:rPr>
              <w:t>Savunma hakkı</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5</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Tanık ifade tutanakları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Delil desteği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6</w:t>
            </w:r>
          </w:p>
        </w:tc>
        <w:tc>
          <w:tcPr>
            <w:tcW w:type="dxa" w:w="2268"/>
            <w:tcMar>
              <w:top w:w="120" w:type="dxa"/>
              <w:bottom w:w="120" w:type="dxa"/>
              <w:left w:w="150" w:type="dxa"/>
              <w:right w:w="150" w:type="dxa"/>
            </w:tcMar>
          </w:tcPr>
          <w:p>
            <w:pPr>
              <w:spacing w:after="40" w:line="252" w:lineRule="auto"/>
            </w:pPr>
            <w:r>
              <w:rPr>
                <w:rFonts w:ascii="Calibri" w:hAnsi="Calibri"/>
                <w:sz w:val="19"/>
              </w:rPr>
              <w:t>Disiplin Kurulu toplantı tutanağı (imzalı)</w:t>
            </w:r>
          </w:p>
        </w:tc>
        <w:tc>
          <w:tcPr>
            <w:tcW w:type="dxa" w:w="2268"/>
            <w:tcMar>
              <w:top w:w="120" w:type="dxa"/>
              <w:bottom w:w="120" w:type="dxa"/>
              <w:left w:w="150" w:type="dxa"/>
              <w:right w:w="150" w:type="dxa"/>
            </w:tcMar>
          </w:tcPr>
          <w:p>
            <w:pPr>
              <w:spacing w:after="40" w:line="252" w:lineRule="auto"/>
            </w:pPr>
            <w:r>
              <w:rPr>
                <w:rFonts w:ascii="Calibri" w:hAnsi="Calibri"/>
                <w:sz w:val="19"/>
              </w:rPr>
              <w:t>Kurul iradesi</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7</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Disiplin karar yazısı ve tebliğ şerhi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Ceza/fesih kararı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8</w:t>
            </w:r>
          </w:p>
        </w:tc>
        <w:tc>
          <w:tcPr>
            <w:tcW w:type="dxa" w:w="2268"/>
            <w:tcMar>
              <w:top w:w="120" w:type="dxa"/>
              <w:bottom w:w="120" w:type="dxa"/>
              <w:left w:w="150" w:type="dxa"/>
              <w:right w:w="150" w:type="dxa"/>
            </w:tcMar>
          </w:tcPr>
          <w:p>
            <w:pPr>
              <w:spacing w:after="40" w:line="252" w:lineRule="auto"/>
            </w:pPr>
            <w:r>
              <w:rPr>
                <w:rFonts w:ascii="Calibri" w:hAnsi="Calibri"/>
                <w:sz w:val="19"/>
              </w:rPr>
              <w:t>Fesih bildirimi ve SGK işten ayrılış bildirgesi (çıkış kodu)</w:t>
            </w:r>
          </w:p>
        </w:tc>
        <w:tc>
          <w:tcPr>
            <w:tcW w:type="dxa" w:w="2268"/>
            <w:tcMar>
              <w:top w:w="120" w:type="dxa"/>
              <w:bottom w:w="120" w:type="dxa"/>
              <w:left w:w="150" w:type="dxa"/>
              <w:right w:w="150" w:type="dxa"/>
            </w:tcMar>
          </w:tcPr>
          <w:p>
            <w:pPr>
              <w:spacing w:after="40" w:line="252" w:lineRule="auto"/>
            </w:pPr>
            <w:r>
              <w:rPr>
                <w:rFonts w:ascii="Calibri" w:hAnsi="Calibri"/>
                <w:sz w:val="19"/>
              </w:rPr>
              <w:t>Yasal bildirim</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9</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İşten çıkış kontrol listesi ve zimmet iade tutanakları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İlişik kesme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bl>
    <w:p>
      <w:pPr>
        <w:spacing w:after="120"/>
      </w:pPr>
    </w:p>
    <w:p>
      <w:pPr>
        <w:spacing w:before="160" w:after="60"/>
      </w:pPr>
      <w:r>
        <w:rPr>
          <w:rFonts w:ascii="Calibri" w:hAnsi="Calibri"/>
          <w:b/>
          <w:color w:val="475569"/>
          <w:sz w:val="24"/>
        </w:rPr>
        <w:t>8.2 Gizlilik Esasları</w:t>
      </w:r>
    </w:p>
    <w:p>
      <w:pPr>
        <w:pStyle w:val="ListBullet"/>
        <w:spacing w:after="40" w:line="276" w:lineRule="auto"/>
      </w:pPr>
      <w:r>
        <w:rPr>
          <w:rFonts w:ascii="Calibri" w:hAnsi="Calibri"/>
        </w:rPr>
        <w:t>Soruşturma dosyası ve içeriği, yalnızca süreçte görevli kişilerce incelenebilir; disiplin kurulu toplantıları gizlidir.</w:t>
      </w:r>
    </w:p>
    <w:p>
      <w:pPr>
        <w:pStyle w:val="ListBullet"/>
        <w:spacing w:after="40" w:line="276" w:lineRule="auto"/>
      </w:pPr>
      <w:r>
        <w:rPr>
          <w:rFonts w:ascii="Calibri" w:hAnsi="Calibri"/>
        </w:rPr>
        <w:t>Çalışanın özel nitelikli verileri (sağlık raporu, özel hayat) soruşturmaya konu edilemez; ilgisiz belgeler dosyaya eklenmez (6698 Md. 4 — veri minimizasyonu).</w:t>
      </w:r>
    </w:p>
    <w:p>
      <w:pPr>
        <w:pStyle w:val="ListBullet"/>
        <w:spacing w:after="40" w:line="276" w:lineRule="auto"/>
      </w:pPr>
      <w:r>
        <w:rPr>
          <w:rFonts w:ascii="Calibri" w:hAnsi="Calibri"/>
        </w:rPr>
        <w:t xml:space="preserve">Soruşturma tamamlandıktan sonra dosya, özlük dosyasından ayrı </w:t>
      </w:r>
      <w:r>
        <w:rPr>
          <w:rFonts w:ascii="Calibri" w:hAnsi="Calibri"/>
          <w:b/>
        </w:rPr>
        <w:t>gizli arşivde</w:t>
      </w:r>
      <w:r>
        <w:rPr>
          <w:rFonts w:ascii="Calibri" w:hAnsi="Calibri"/>
        </w:rPr>
        <w:t xml:space="preserve"> saklanır ve ilgili çalışanın erişimi İK gözetiminde sağlanır.</w:t>
      </w:r>
    </w:p>
    <w:p>
      <w:pPr>
        <w:pStyle w:val="ListBullet"/>
        <w:spacing w:after="40" w:line="276" w:lineRule="auto"/>
      </w:pPr>
      <w:r>
        <w:rPr>
          <w:rFonts w:ascii="Calibri" w:hAnsi="Calibri"/>
        </w:rPr>
        <w:t xml:space="preserve">Ceza almış çalışanın durumu, işverenin eşit davranma borcu (4857 Md. 5) gözetilerek benzer fiiller için </w:t>
      </w:r>
      <w:r>
        <w:rPr>
          <w:rFonts w:ascii="Calibri" w:hAnsi="Calibri"/>
          <w:b/>
        </w:rPr>
        <w:t>tutarlı</w:t>
      </w:r>
      <w:r>
        <w:rPr>
          <w:rFonts w:ascii="Calibri" w:hAnsi="Calibri"/>
        </w:rPr>
        <w:t xml:space="preserve"> cezalandırma sağlanacak şekilde kayıtlanır.</w:t>
      </w:r>
    </w:p>
    <w:p>
      <w:pPr>
        <w:spacing w:before="160" w:after="60"/>
      </w:pPr>
      <w:r>
        <w:rPr>
          <w:rFonts w:ascii="Calibri" w:hAnsi="Calibri"/>
          <w:b/>
          <w:color w:val="475569"/>
          <w:sz w:val="24"/>
        </w:rPr>
        <w:t>8.3 Zamanaşımı ve Arşivleme</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Belge</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Saklama Süresi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Disiplin ceza kayıtları (yazılı uyarı, kınama)</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 ilişkisi + [2 yıl] sonra silinir (kurumsal)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Kurumsal politika</w:t>
            </w:r>
          </w:p>
        </w:tc>
      </w:tr>
      <w:tr>
        <w:tc>
          <w:tcPr>
            <w:tcW w:type="dxa" w:w="3024"/>
            <w:tcMar>
              <w:top w:w="120" w:type="dxa"/>
              <w:bottom w:w="120" w:type="dxa"/>
              <w:left w:w="150" w:type="dxa"/>
              <w:right w:w="150" w:type="dxa"/>
            </w:tcMar>
          </w:tcPr>
          <w:p>
            <w:pPr>
              <w:spacing w:after="40" w:line="252" w:lineRule="auto"/>
            </w:pPr>
            <w:r>
              <w:rPr>
                <w:rFonts w:ascii="Calibri" w:hAnsi="Calibri"/>
                <w:sz w:val="19"/>
              </w:rPr>
              <w:t>Ücretten kesme cezaları</w:t>
            </w:r>
          </w:p>
        </w:tc>
        <w:tc>
          <w:tcPr>
            <w:tcW w:type="dxa" w:w="3024"/>
            <w:tcMar>
              <w:top w:w="120" w:type="dxa"/>
              <w:bottom w:w="120" w:type="dxa"/>
              <w:left w:w="150" w:type="dxa"/>
              <w:right w:w="150" w:type="dxa"/>
            </w:tcMar>
          </w:tcPr>
          <w:p>
            <w:pPr>
              <w:spacing w:after="40" w:line="252" w:lineRule="auto"/>
            </w:pPr>
            <w:r>
              <w:rPr>
                <w:rFonts w:ascii="Calibri" w:hAnsi="Calibri"/>
                <w:sz w:val="19"/>
              </w:rPr>
              <w:t>Hizmet süresi + 10 yıl</w:t>
            </w:r>
          </w:p>
        </w:tc>
        <w:tc>
          <w:tcPr>
            <w:tcW w:type="dxa" w:w="3024"/>
            <w:tcMar>
              <w:top w:w="120" w:type="dxa"/>
              <w:bottom w:w="120" w:type="dxa"/>
              <w:left w:w="150" w:type="dxa"/>
              <w:right w:w="150" w:type="dxa"/>
            </w:tcMar>
          </w:tcPr>
          <w:p>
            <w:pPr>
              <w:spacing w:after="40" w:line="252" w:lineRule="auto"/>
            </w:pPr>
            <w:r>
              <w:rPr>
                <w:rFonts w:ascii="Calibri" w:hAnsi="Calibri"/>
                <w:sz w:val="19"/>
              </w:rPr>
              <w:t>4857 Md. 38, 75</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Haklı/geçerli fesih dosyaları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 xml:space="preserve">Fesih + </w:t>
            </w:r>
            <w:r>
              <w:rPr>
                <w:rFonts w:ascii="Calibri" w:hAnsi="Calibri"/>
                <w:b/>
                <w:sz w:val="19"/>
              </w:rPr>
              <w:t>10 yıl</w:t>
            </w:r>
            <w:r>
              <w:rPr>
                <w:rFonts w:ascii="Calibri" w:hAnsi="Calibri"/>
                <w:sz w:val="19"/>
              </w:rPr>
              <w:t xml:space="preserve"> (işe iade dava süresi sonrası)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4857 Md. 75; 7036 Md. 3</w:t>
            </w:r>
          </w:p>
        </w:tc>
      </w:tr>
      <w:tr>
        <w:tc>
          <w:tcPr>
            <w:tcW w:type="dxa" w:w="3024"/>
            <w:tcMar>
              <w:top w:w="120" w:type="dxa"/>
              <w:bottom w:w="120" w:type="dxa"/>
              <w:left w:w="150" w:type="dxa"/>
              <w:right w:w="150" w:type="dxa"/>
            </w:tcMar>
          </w:tcPr>
          <w:p>
            <w:pPr>
              <w:spacing w:after="40" w:line="252" w:lineRule="auto"/>
            </w:pPr>
            <w:r>
              <w:rPr>
                <w:rFonts w:ascii="Calibri" w:hAnsi="Calibri"/>
                <w:sz w:val="19"/>
              </w:rPr>
              <w:t>Savunma ve tanık tutanakları</w:t>
            </w:r>
          </w:p>
        </w:tc>
        <w:tc>
          <w:tcPr>
            <w:tcW w:type="dxa" w:w="3024"/>
            <w:tcMar>
              <w:top w:w="120" w:type="dxa"/>
              <w:bottom w:w="120" w:type="dxa"/>
              <w:left w:w="150" w:type="dxa"/>
              <w:right w:w="150" w:type="dxa"/>
            </w:tcMar>
          </w:tcPr>
          <w:p>
            <w:pPr>
              <w:spacing w:after="40" w:line="252" w:lineRule="auto"/>
            </w:pPr>
            <w:r>
              <w:rPr>
                <w:rFonts w:ascii="Calibri" w:hAnsi="Calibri"/>
                <w:sz w:val="19"/>
              </w:rPr>
              <w:t>Fesih + 10 yıl</w:t>
            </w:r>
          </w:p>
        </w:tc>
        <w:tc>
          <w:tcPr>
            <w:tcW w:type="dxa" w:w="3024"/>
            <w:tcMar>
              <w:top w:w="120" w:type="dxa"/>
              <w:bottom w:w="120" w:type="dxa"/>
              <w:left w:w="150" w:type="dxa"/>
              <w:right w:w="150" w:type="dxa"/>
            </w:tcMar>
          </w:tcPr>
          <w:p>
            <w:pPr>
              <w:spacing w:after="40" w:line="252" w:lineRule="auto"/>
            </w:pPr>
            <w:r>
              <w:rPr>
                <w:rFonts w:ascii="Calibri" w:hAnsi="Calibri"/>
                <w:sz w:val="19"/>
              </w:rPr>
              <w:t>4857 Md. 75</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İSG ihlal kayıtları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Fesih + 10 yıl (İSG dosyası)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6331 Md. 26</w:t>
            </w:r>
          </w:p>
        </w:tc>
      </w:tr>
    </w:tbl>
    <w:p>
      <w:pPr>
        <w:spacing w:after="120"/>
      </w:pPr>
    </w:p>
    <w:p>
      <w:pPr>
        <w:spacing w:before="200" w:after="80"/>
      </w:pPr>
      <w:r>
        <w:rPr>
          <w:rFonts w:ascii="Calibri" w:hAnsi="Calibri"/>
          <w:b/>
          <w:color w:val="1E3A8A"/>
          <w:sz w:val="28"/>
        </w:rPr>
        <w:t>9. ONAY, YÜRÜRLÜK VE REVİZYON</w:t>
      </w:r>
    </w:p>
    <w:p>
      <w:pPr>
        <w:spacing w:after="80" w:line="276" w:lineRule="auto"/>
      </w:pPr>
      <w:r>
        <w:rPr>
          <w:rFonts w:ascii="Calibri" w:hAnsi="Calibri"/>
        </w:rPr>
        <w:t>Bu talimat, 4857 sayılı İş Kanunu, 6098 sayılı Türk Borçlar Kanunu ve 6331 sayılı Kanun hükümlerine uygun olarak hazırlanmış; disiplin kuralları ve soruşturma usulü çalışanlara tebliğ edilmek üzere yürürlüğe konulmuştur.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Rol</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Adı Soyadı</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İnsan Kaynakları Müdürü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b/>
                <w:sz w:val="19"/>
              </w:rPr>
              <w:t>Hukuk Müşaviri</w:t>
            </w:r>
          </w:p>
        </w:tc>
        <w:tc>
          <w:tcPr>
            <w:tcW w:type="dxa" w:w="2268"/>
            <w:tcMar>
              <w:top w:w="120" w:type="dxa"/>
              <w:bottom w:w="120" w:type="dxa"/>
              <w:left w:w="150" w:type="dxa"/>
              <w:right w:w="150" w:type="dxa"/>
            </w:tcMar>
          </w:tcPr>
          <w:p>
            <w:pPr>
              <w:spacing w:after="40" w:line="252" w:lineRule="auto"/>
            </w:pPr>
            <w:r>
              <w:rPr>
                <w:rFonts w:ascii="Calibri" w:hAnsi="Calibri"/>
                <w:sz w:val="19"/>
              </w:rPr>
              <w:t>[Adı Soyadı]</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Çalışan Temsilcisi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b/>
                <w:sz w:val="19"/>
              </w:rPr>
              <w:t>Genel Müdür / İşveren Vekili</w:t>
            </w:r>
          </w:p>
        </w:tc>
        <w:tc>
          <w:tcPr>
            <w:tcW w:type="dxa" w:w="2268"/>
            <w:tcMar>
              <w:top w:w="120" w:type="dxa"/>
              <w:bottom w:w="120" w:type="dxa"/>
              <w:left w:w="150" w:type="dxa"/>
              <w:right w:w="150" w:type="dxa"/>
            </w:tcMar>
          </w:tcPr>
          <w:p>
            <w:pPr>
              <w:spacing w:after="40" w:line="252" w:lineRule="auto"/>
            </w:pPr>
            <w:r>
              <w:rPr>
                <w:rFonts w:ascii="Calibri" w:hAnsi="Calibri"/>
                <w:sz w:val="19"/>
              </w:rPr>
              <w:t>[Adı Soyadı]</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bl>
    <w:p>
      <w:pPr>
        <w:spacing w:after="120"/>
      </w:pPr>
    </w:p>
    <w:p>
      <w:pPr>
        <w:spacing w:before="160" w:after="60"/>
      </w:pPr>
      <w:r>
        <w:rPr>
          <w:rFonts w:ascii="Calibri" w:hAnsi="Calibri"/>
          <w:b/>
          <w:color w:val="475569"/>
          <w:sz w:val="24"/>
        </w:rPr>
        <w:t>REVİZYON GEÇMİŞİ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Revizyon</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Değişiklik</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Sebep</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Onay</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01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İlk yayın</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Disiplin düzeni ihtiyacı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[GM]</w:t>
            </w:r>
          </w:p>
        </w:tc>
      </w:tr>
      <w:tr>
        <w:tc>
          <w:tcPr>
            <w:tcW w:type="dxa" w:w="1814"/>
            <w:tcMar>
              <w:top w:w="120" w:type="dxa"/>
              <w:bottom w:w="120" w:type="dxa"/>
              <w:left w:w="150" w:type="dxa"/>
              <w:right w:w="150" w:type="dxa"/>
            </w:tcMar>
          </w:tcPr>
          <w:p>
            <w:pPr>
              <w:spacing w:after="40" w:line="252" w:lineRule="auto"/>
            </w:pPr>
            <w:r>
              <w:rPr>
                <w:rFonts w:ascii="Calibri" w:hAnsi="Calibri"/>
                <w:sz w:val="19"/>
              </w:rPr>
              <w:t>02</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Ceza dereceleri tablosu güncellendi</w:t>
            </w:r>
          </w:p>
        </w:tc>
        <w:tc>
          <w:tcPr>
            <w:tcW w:type="dxa" w:w="1814"/>
            <w:tcMar>
              <w:top w:w="120" w:type="dxa"/>
              <w:bottom w:w="120" w:type="dxa"/>
              <w:left w:w="150" w:type="dxa"/>
              <w:right w:w="150" w:type="dxa"/>
            </w:tcMar>
          </w:tcPr>
          <w:p>
            <w:pPr>
              <w:spacing w:after="40" w:line="252" w:lineRule="auto"/>
            </w:pPr>
            <w:r>
              <w:rPr>
                <w:rFonts w:ascii="Calibri" w:hAnsi="Calibri"/>
                <w:sz w:val="19"/>
              </w:rPr>
              <w:t>Mevzuat uyumu</w:t>
            </w:r>
          </w:p>
        </w:tc>
        <w:tc>
          <w:tcPr>
            <w:tcW w:type="dxa" w:w="1814"/>
            <w:tcMar>
              <w:top w:w="120" w:type="dxa"/>
              <w:bottom w:w="120" w:type="dxa"/>
              <w:left w:w="150" w:type="dxa"/>
              <w:right w:w="150" w:type="dxa"/>
            </w:tcMar>
          </w:tcPr>
          <w:p>
            <w:pPr>
              <w:spacing w:after="40" w:line="252" w:lineRule="auto"/>
            </w:pPr>
            <w:r>
              <w:rPr>
                <w:rFonts w:ascii="Calibri" w:hAnsi="Calibri"/>
                <w:sz w:val="19"/>
              </w:rPr>
              <w:t>[GM]</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03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Soruşturma adımları ve savunma usulü güncellendi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Denetim önerileri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[GM]</w:t>
            </w:r>
          </w:p>
        </w:tc>
      </w:tr>
      <w:tr>
        <w:tc>
          <w:tcPr>
            <w:tcW w:type="dxa" w:w="1814"/>
            <w:tcMar>
              <w:top w:w="120" w:type="dxa"/>
              <w:bottom w:w="120" w:type="dxa"/>
              <w:left w:w="150" w:type="dxa"/>
              <w:right w:w="150" w:type="dxa"/>
            </w:tcMar>
          </w:tcPr>
          <w:p>
            <w:pPr>
              <w:spacing w:after="40" w:line="252" w:lineRule="auto"/>
            </w:pPr>
            <w:r>
              <w:rPr>
                <w:rFonts w:ascii="Calibri" w:hAnsi="Calibri"/>
                <w:sz w:val="19"/>
              </w:rPr>
              <w:t>04</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Fiil-ceza cetveli, soruşturma takvimi, savunma yazısı unsurları, kurul nisabı, hak düşürücü süre, itiraz/yargı yolu ve arşiv bölümleri eklendi</w:t>
            </w:r>
          </w:p>
        </w:tc>
        <w:tc>
          <w:tcPr>
            <w:tcW w:type="dxa" w:w="1814"/>
            <w:tcMar>
              <w:top w:w="120" w:type="dxa"/>
              <w:bottom w:w="120" w:type="dxa"/>
              <w:left w:w="150" w:type="dxa"/>
              <w:right w:w="150" w:type="dxa"/>
            </w:tcMar>
          </w:tcPr>
          <w:p>
            <w:pPr>
              <w:spacing w:after="40" w:line="252" w:lineRule="auto"/>
            </w:pPr>
            <w:r>
              <w:rPr>
                <w:rFonts w:ascii="Calibri" w:hAnsi="Calibri"/>
                <w:sz w:val="19"/>
              </w:rPr>
              <w:t>Usul güvenliği ve 4857 Md. 19/26 uyumu</w:t>
            </w:r>
          </w:p>
        </w:tc>
        <w:tc>
          <w:tcPr>
            <w:tcW w:type="dxa" w:w="1814"/>
            <w:tcMar>
              <w:top w:w="120" w:type="dxa"/>
              <w:bottom w:w="120" w:type="dxa"/>
              <w:left w:w="150" w:type="dxa"/>
              <w:right w:w="150" w:type="dxa"/>
            </w:tcMar>
          </w:tcPr>
          <w:p>
            <w:pPr>
              <w:spacing w:after="40" w:line="252" w:lineRule="auto"/>
            </w:pPr>
            <w:r>
              <w:rPr>
                <w:rFonts w:ascii="Calibri" w:hAnsi="Calibri"/>
                <w:sz w:val="19"/>
              </w:rPr>
              <w:t>[GM]</w:t>
            </w:r>
          </w:p>
        </w:tc>
      </w:tr>
    </w:tbl>
    <w:p>
      <w:pPr>
        <w:spacing w:after="120"/>
      </w:pPr>
    </w:p>
    <w:p>
      <w:pPr>
        <w:spacing w:before="80" w:after="120"/>
        <w:ind w:left="576"/>
      </w:pPr>
      <w:r>
        <w:rPr>
          <w:rFonts w:ascii="Calibri" w:hAnsi="Calibri"/>
          <w:i/>
          <w:color w:val="64748B"/>
          <w:sz w:val="21"/>
        </w:rPr>
        <w:t>Arşiv Notu: Bu talimat ve ekleri, soruşturma dosyalarıyla birlikte İK gizli arşivinde 10 yıl saklanır; çalışana tebliğ edilen nüsha imza karşılığı alınır ve özlük dosyasında tutulur.</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